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ATAS/482/2018 vom 6. Juni 2018</w:t>
      </w:r>
    </w:p>
    <w:p>
      <w:r>
        <w:t>GE Cour de justice, 2018-06-06, FR</w:t>
      </w:r>
    </w:p>
    <w:p>
      <w:r>
        <w:rPr>
          <w:b/>
        </w:rPr>
        <w:t xml:space="preserve">Quelle: </w:t>
      </w:r>
      <w:r>
        <w:t>https://mcp.opencaselaw.ch/entscheid/ge_gerichte_ATAS_482_2018</w:t>
      </w:r>
    </w:p>
    <w:p>
      <w:r>
        <w:t>FR: GE_GERICHTE ATAS/482/2018 du 6 juin 2018</w:t>
      </w:r>
    </w:p>
    <w:p>
      <w:r>
        <w:t>IT: GE_GERICHTE ATAS/482/2018 del 6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le bien-fondé du refus d’entrer en matière de l'OAI sur la demande de prestations de la recourante du 27 juillet 2017.</w:t>
      </w:r>
    </w:p>
    <w:p>
      <w:r>
        <w:rPr>
          <w:b/>
        </w:rPr>
        <w:t>E. 4</w:t>
      </w:r>
    </w:p>
    <w:p>
      <w:r>
        <w:t>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w:t>
      </w:r>
    </w:p>
    <w:p>
      <w:r>
        <w:t>A/4839/2017 - 6/8 -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ATF 125 V 193 consid. 2; 122 V 157 consid. 1a et les références), ne s'applique pas à la procédure de l'art. 87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et les références).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w:t>
      </w:r>
    </w:p>
    <w:p>
      <w:r>
        <w:t>A/4839/2017 - 7/8 - procédure administrative justifiaient ou non la reprise de l'instruction du dossier. Il ne sera donc pas tenu compte des rapports produits postérieurement à la décision litigieuse (ATF 130 V 64 consid. 5.2.5; 121 V 366 consid. 1b et les références; arrêt du Tribunal fédéral 9C 959/2011 du 6 août 2012 consid. 4.3).</w:t>
      </w:r>
    </w:p>
    <w:p>
      <w:r>
        <w:rPr>
          <w:b/>
        </w:rPr>
        <w:t>E. 5</w:t>
      </w:r>
    </w:p>
    <w:p>
      <w:r>
        <w:t>En l'espèce, la recourante a produit, à l'appui de sa demande de prestations du 27 juillet 2017, un rapport établi le 25 août 2017 par la Dre B______, qui fait état d'une aggravation de son état de santé depuis 2004, précisant que les douleurs de la recourante en lien avec sa fibromyalgie étaient plus importantes qu'auparavant et qu'elle présentait des nouveaux problèmes de santé au niveau des pieds, d'un doigt et de l’épaule droite ainsi qu'une gastrite qui n'existaient pas lorsque l'OAI a rendu sa précédente décision en 2004, à teneur du rapport établi le 27 avril 2004 par le SMR. La recourante a également produit un rapport établi par la Dre C_____ du 5 septembre 2017 qui atteste, notamment, d'une aggravation des douleurs polyarticulaires et rachidiennes ces dernières années et de douleurs à l’épaule droite. Ces rapports médicaux suffisent à rendre vraisemblable une aggravation de l'état de santé de la recourante depuis 2004 susceptible d'influer son droit aux prestations, étant rappelé que les exigences de preuves sont sensiblement réduites dans le cadre d'une demande de révision, au sens de l'art. 87 al. 2 RAI, ce d'autant plus lorsque le dernier examen du cas est ancien, ce qui est le cas en l'espèce. Le bref avis médical du SMR ne permet pas de tirer la conclusion contraire.</w:t>
      </w:r>
    </w:p>
    <w:p>
      <w:r>
        <w:rPr>
          <w:b/>
        </w:rPr>
        <w:t>E. 6</w:t>
      </w:r>
    </w:p>
    <w:p>
      <w:r>
        <w:t>Au vu de ce qui précède, le recours sera admis, la décision litigieuse annulée et la cause renvoyée à l’intimé pour qu'il entre en matière sur la nouvelle demande de la recourante.</w:t>
      </w:r>
    </w:p>
    <w:p>
      <w:r>
        <w:rPr>
          <w:b/>
        </w:rPr>
        <w:t>E. 7</w:t>
      </w:r>
    </w:p>
    <w:p>
      <w:r>
        <w:t>Cette dernière, qui obtient gain de cause, a droit à des dépens qui seront fixés à CHF 1'500.- (art. 61 let. g LPGA).</w:t>
      </w:r>
    </w:p>
    <w:p>
      <w:r>
        <w:rPr>
          <w:b/>
        </w:rPr>
        <w:t>E. 8</w:t>
      </w:r>
    </w:p>
    <w:p>
      <w:r>
        <w:t>L'intimé sera condamné au paiement d'un émolument de CHF 500.- (art. 69 al. 1bis LAI).</w:t>
      </w:r>
    </w:p>
    <w:p>
      <w:r>
        <w:t>A/4839/2017 - 8/8 -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