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ATAS/481/2023 vom 22. Juni 2023</w:t>
      </w:r>
    </w:p>
    <w:p>
      <w:r>
        <w:t>GE Cour de justice, 2023-06-22, FR</w:t>
      </w:r>
    </w:p>
    <w:p>
      <w:r>
        <w:rPr>
          <w:b/>
        </w:rPr>
        <w:t xml:space="preserve">Quelle: </w:t>
      </w:r>
      <w:r>
        <w:t>https://mcp.opencaselaw.ch/entscheid/ge_gerichte_ATAS_481_2023</w:t>
      </w:r>
    </w:p>
    <w:p>
      <w:r>
        <w:t>FR: GE_GERICHTE ATAS/481/2023 du 22 juin 2023</w:t>
      </w:r>
    </w:p>
    <w:p>
      <w:r>
        <w:t>IT: GE_GERICHTE ATAS/481/2023 del 22 giugno 2023</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recours a été interjeté dans les formes et le délai prévus par la loi (art. 60 et 61 let. b LPGA). La société avait qualité pour recourir lors de son dépôt (art. 59 LPGA).</w:t>
      </w:r>
    </w:p>
    <w:p>
      <w:r>
        <w:rPr>
          <w:b/>
        </w:rPr>
        <w:t>E. 2.1</w:t>
      </w:r>
    </w:p>
    <w:p>
      <w:r>
        <w:t>Selon l'art. 938a al. 1 de la loi fédérale du 30 mars 1911, complétant le Code civil suisse (CO, Code des obligations - RS 220), lorsqu'une société n'exerce plus d'activités et n'a plus d'actifs réalisables, le préposé au registre du commerce peut la radier après une triple sommation publique demeurée sans résultat. Selon une ancienne jurisprudence (ATF 42 III 37 ; ATF 64 II 150 ; ATF 73 III 61), la radiation au registre du commerce a pour effet de faire disparaître la personne morale. Dans un arrêt plus récent, le Tribunal fédéral a précisé que l'existence juridique d'une société anonyme en liquidation cesse lorsque, à l'issue de la liquidation, celle-ci est radiée du registre du commerce (ATF 132 III 731 consid. 3.1). Enfin, dans un arrêt rendu en 2010, le Tribunal fédéral a relevé que la radiation au registre du commerce conduit à présumer que la liquidation est terminée et que la société a cessé d'exister (arrêt du Tribunal fédéral 4A_16/2010 du 6 avril 2010 consid. 5.1.2). La radiation du registre du commerce a également pour effet que la société cesse d'avoir la capacité active et passive d'agir en justice (François RAYROUX, in Pierre TERCIER/Marc AMSTUTZ (éd.), Commentaire romand du Code des obligations II, 2008, n° 6 ad art. 746 CO et les références citées). En outre, la personne morale radiée du registre du commerce perd la capacité d'être partie, c'est-à-dire la faculté d'être désignée comme demanderesse ou défenderesse dans un procès (Nicolas JEANDIN, Commentaire romand, Code de procédure civile, nos 1 à 4 ad art. 66 CPC).</w:t>
      </w:r>
    </w:p>
    <w:p>
      <w:r>
        <w:rPr>
          <w:b/>
        </w:rPr>
        <w:t>E. 2.2</w:t>
      </w:r>
    </w:p>
    <w:p>
      <w:r>
        <w:t>En l’occurrence, la faillite de la société recourante a été clôturée le 27 mars 2023, ensuite de quoi elle a été radiée d’office du registre du commerce. De ce fait, la société recourante n’existe plus. Il s’ensuit que le recours n’a plus d’objet, et que la cause doit être rayée du rôle.</w:t>
      </w:r>
    </w:p>
    <w:p>
      <w:r>
        <w:t>A/3512/2021 - 5/6 -</w:t>
      </w:r>
    </w:p>
    <w:p>
      <w:r>
        <w:rPr>
          <w:b/>
        </w:rPr>
        <w:t>E. 3</w:t>
      </w:r>
    </w:p>
    <w:p>
      <w:r>
        <w:t>Il n’y a lieu ni à perception d’un émolument (art. 61 let. a LPGA), ni à l’allocation d’une indemnité de procédure (art. 61 let. g LPGA).</w:t>
      </w:r>
    </w:p>
    <w:p>
      <w:r>
        <w:t>A/3512/2021 - 6/6 -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