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ATAS/481/2020 vom 15. Juni 2020</w:t>
      </w:r>
    </w:p>
    <w:p>
      <w:r>
        <w:t>GE Cour de justice, 2020-06-15, FR</w:t>
      </w:r>
    </w:p>
    <w:p>
      <w:r>
        <w:rPr>
          <w:b/>
        </w:rPr>
        <w:t xml:space="preserve">Quelle: </w:t>
      </w:r>
      <w:r>
        <w:t>https://mcp.opencaselaw.ch/entscheid/ge_gerichte_ATAS_481_2020</w:t>
      </w:r>
    </w:p>
    <w:p>
      <w:r>
        <w:t>FR: GE_GERICHTE ATAS/481/2020 du 15 juin 2020</w:t>
      </w:r>
    </w:p>
    <w:p>
      <w:r>
        <w:t>IT: GE_GERICHTE ATAS/481/2020 del 15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loi sur la procédure administrative du 12 septembre 1985 [LPA - E 5 10]). Interjeté dans la forme et le délai prévus par la loi, compte tenu de la suspension des délais du 7ème jour avant Pâques au 7ème jour après Pâques inclusivement (art. 38 al. 4 let. a LPGA et art. 89C let. a LPA), le recours est recevable (art. 56 ss LPGA et 62 ss LPA).</w:t>
      </w:r>
    </w:p>
    <w:p>
      <w:r>
        <w:rPr>
          <w:b/>
        </w:rPr>
        <w:t>E. 4</w:t>
      </w:r>
    </w:p>
    <w:p>
      <w:r>
        <w:t>Le litige porte sur le droit de la recourante à des prestations, plus particulièrement à la rente, de l'assurance-invalidité, singulièrement sur la question de savoir si c'est à juste titre qu'après être entré en matière sur la nouvelle demande de prestations présentée le 27 septembre 2017, l'OAI a rejeté la seconde demande, considérant</w:t>
      </w:r>
    </w:p>
    <w:p>
      <w:r>
        <w:t>A/1774/2019 - 12/24 - qu'il n'y avait pas d'aggravation de l'état de santé depuis la précédente décision du 27 janvier 2017 par laquelle il avait nié le droit de la recourante à une rente, en raison d'un degré d'invalidité insuffisant.</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arrêt du Tribunal fédéral 9C_789/2012 du 27 juillet 2013 consid. 2.2). b. Le fait que l’administration procède d’elle-même à des investigations supplémentaires ne signifie pas encore qu’elle soit entrée en matière (cf. parmi d’autres les arrêts du Tribunal 8C_531/2013 du 10 juin 2014 consid. 4.2.4 et 8C_844/2012 du 5 juin 2013 consid. 2.1 et les références). En revanche, dans un arrêt du 14 juin 2017, le Tribunal fédéral a considéré que lorsque l’administration souhaite connaître l’avis du SMR quant à l’existence d’une éventuelle péjoration mais que celui-ci estime ne pas être en mesure de se prononcer sur la base des documents déposés à l’appui de la nouvelle demande de prestations et entend encore obtenir des précisions de la part des médecins traitants, il fait clairement état de doutes quant au caractère plausible d’une détérioration de la situation.</w:t>
      </w:r>
    </w:p>
    <w:p>
      <w:r>
        <w:t>A/1774/2019 - 13/24 - Cependant si le SMR recommande néanmoins de poursuivre l’instruction de la cause en recueillant les avis des différents médecins traitants sur la base desquels il admet ensuite de façon explicite qu’il y pas de modification de l’état de santé, il s’agit d’une conclusion qui porte sur l’existence - en soi - de l’aggravation et non sur sa plausibilité (arrêt du Tribunal fédéral 9C_127/2017 du 14 juin 2017 consid. 3.3). c. En l’espèce, l'OAI est entré en matière sur la nouvelle demande de prestations, pour en définitive la rejeter, faute d'aggravation de l'état de santé, de sorte que la question de l'entrée en matière n'est pas litigieuse; le contrôle par l'autorité judiciaire n'est donc pas nécessaire (ATF 109 V 108 consid. 2b; arrêt du Tribunal fédéral 9C_789/2012 du 27 juillet 2013 consid. 2.2).</w:t>
      </w:r>
    </w:p>
    <w:p>
      <w:r>
        <w:rPr>
          <w:b/>
        </w:rPr>
        <w:t>E. 6</w:t>
      </w:r>
    </w:p>
    <w:p>
      <w:r>
        <w:t>a.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w:t>
      </w:r>
    </w:p>
    <w:p>
      <w:r>
        <w:t>A/1774/2019 - 14/24 -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En l'espèce, le point de départ temporel est bien la décision du 27 janvier 2017, entrée en force après le retrait du recours que l'assurée avait interjeté à son encontre (voir ci-dessus En fait ad ch.4 [ATAS/414/2017 du 29 mai 2017]). d. À juste titre, la recourante ne soutient pas que les conditions d'une reconsidération ou d'une révision procédurale seraient réunies en l'espèce.</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w:t>
      </w:r>
    </w:p>
    <w:p>
      <w:r>
        <w:t>A/1774/2019 - 15/24 -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w:t>
      </w:r>
    </w:p>
    <w:p>
      <w:r>
        <w:t>A/1774/2019 - 16/24 -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w:t>
      </w:r>
    </w:p>
    <w:p>
      <w:r>
        <w:rPr>
          <w:b/>
        </w:rPr>
        <w:t>E. 9</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 respectivement d'une détérioration -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w:t>
      </w:r>
    </w:p>
    <w:p>
      <w:r>
        <w:t>A/1774/2019 - 17/24 -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w:t>
      </w:r>
    </w:p>
    <w:p>
      <w:r>
        <w:t>A/1774/2019 - 18/24 - dans le cadre de l'expertise et qui sont suffisamment pertinents pour remettre en cause les conclusions de l'expert (arrêt du Tribunal fédéral 9C_369/2008 du 5 mars 2009 consid. 2.2).</w:t>
      </w:r>
    </w:p>
    <w:p>
      <w:r>
        <w:rPr>
          <w:b/>
        </w:rPr>
        <w:t>E. 10</w:t>
      </w:r>
    </w:p>
    <w:p>
      <w:r>
        <w:t>En l'espèce, on rappellera que l'intimé est entré en matière sur la nouvelle demande de prestations, notamment en raison du fait que l'examen du dossier, à ce stade-là, repose sur des exigences moindres (la plausibilité d'une aggravation de l'état de santé ne posant pas encore l'exigence usuelle en matière d'assurances sociales de vraisemblance prépondérante). Ce degré d'exigence doit en revanche être atteint, lorsque l'OAI, étant entré en matière, procède à l'instruction proprement dite de la demande. Or, dans ce contexte, il y a lieu de tenir compte du temps qui s'est écoulé entre la nouvelle demande et la dernière décision entrée en force, respectivement les circonstances générales du cas particulier. Il convient dès lors de garder à l'esprit le point de départ de la comparaison de l'évolution de l'état de santé, soit la situation qui prévalait au moment de la décision du 27 janvier 2017. Celle-ci reposait sur des renseignements médicaux récents, à savoir le rapport d'expertise psychiatrique de début juin 2016, suivi par plusieurs appréciations médicales successives, émanant tant du SMR que des médecins traitants, et sur l'examen de la situation socioprofessionnelle et l'appréciation de la capacité de l'assurée à accomplir ses tâches ménagères fin novembre - début décembre 2016. Or, l'assurée a présenté sa nouvelle demande de prestations quatre mois à peine après avoir retiré en toute connaissance de cause, le recours qu'elle avait interjeté contre la décision du 27 janvier 2017. On rappellera en outre que s'agissant de la CT de l'assurée, la décision initiale du 27 janvier 2017 retenait qu'en raison de son atteinte à la santé, l'intéressée était en incapacité totale de travail « dans toute activité entrant en ligne de compte », par quoi il faut comprendre que cette incapacité était totale tant dans l'activité habituelle de patrouilleuse scolaire, que dans toute autre activité (adaptée). Dans ce contexte, dès lors, quand bien même le Dr I______ affirme, dans son certificat médical du 23 novembre 2017, que la patiente présente, ces derniers mois, une péjoration importante de son état psychique avec notamment une augmentation des automutilations dans le contexte de ses troubles psychiques, il n'apporte pas d'éléments probants, nouveaux par rapport à ce qui avait déjà été pris en compte dans l'état de santé de sa patiente, ayant conduit à la décision du 27 janvier 2017. L'essentiel de ce certificat médical est centré sur la question de la CT, le médecin indiquant que sa patiente est en incapacité de travail à 100 % au vu de ses troubles psychiques, et n'a donc pas de travail; évoquant encore des difficultés financières péjorant son état psychique. Ainsi, s'agissant de la CT, la question d'une éventuelle aggravation de l'état de santé n'aurait quoi qu'il en soit aucune incidence dès lors qu'elle était déjà nulle au début 2017, et vraisemblablement antérieurement.</w:t>
      </w:r>
    </w:p>
    <w:p>
      <w:r>
        <w:t>A/1774/2019 - 19/24 - On rappellera en outre que l'invalidité est une notion économique et non médicale; ce sont les conséquences économiques objectives de l'incapacité fonctionnelle qu'il importe d'évaluer (ATF 110 V 273 consid. 4a). Ainsi la question de savoir si l'aggravation de l'état de santé alléguée a été démontrée peut demeurer indécise, dans la mesure où même en présence d'une aggravation de l'état de santé elle n'aurait aucun effet sur la capacité de gain de l’assurée.</w:t>
      </w:r>
    </w:p>
    <w:p>
      <w:r>
        <w:rPr>
          <w:b/>
        </w:rPr>
        <w:t>E. 11</w:t>
      </w:r>
    </w:p>
    <w:p>
      <w:r>
        <w:t>a. S'agissant des tâches ménagères, soit de la capacité de l'assurée d'accomplir ses travaux habituels à la maison, le Dr I______ rapporte, dans son certificat médical du 23 novembre 2017, que la patiente relate ne plus arriver à effectuer les tâches ménagères qu'elle faisait auparavant à son domicile. Elle explique notamment qu'en raison d'une fatigue elle doit se reposer l'après-midi parfois durant 2 à 3 heures, et qu'elle se rend également plusieurs fois par semaine aux différents groupes thérapeutiques du CAPPI qui sont actuellement nécessaires dans le contexte de ses difficultés psychiques. Ce faisant, le médecin traitant ne fait que répercuter les déclarations subjectives de sa patiente, sans indiquer de façon objective en quoi l'on devrait admettre qu'une aggravation de l'état de santé de l'assurée affecterait sa capacité à effectuer les tâches ménagères, par rapport à ce qu'elle faisait antérieurement, et en somme en quoi les constatations faites à l'époque par l'infirmière spécialisée dans le cadre de l'enquête ménagères (décembre 2016) ne seraient plus actuelles.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À ce sujet on rappellera d'une part que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d'autre part que l'aide des membres de la famille (en particulier celle des enfants) va au-delà de ce que l'on</w:t>
      </w:r>
    </w:p>
    <w:p>
      <w:r>
        <w:t>A/1774/2019 - 20/24 - peut attendre de ceux-ci, si la personne assurée n'était pas atteinte dans sa santé (arrêts du Tribunal fédéral des assurances I 308/04 déjà cité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c. En l'espèce, aucun élément du dossier ne permet de rendre vraisemblable, au degré de la vraisemblance prépondérante, que l'état de santé de la recourante se soit aggravé depuis la décision du 27 janvier 2017, en tout cas au point d'influer sur la capacité de l'intéressée, à accomplir ses travaux habituels. D'ailleurs, entendue en comparution personnelle, la recourante a confirmé que ses trois enfants (son fils et ses deux filles jumelles) respectivement âgés de 22 et 21 ans, habitent encore tous les trois au domicile familial. Le fils aîné étudie à l'école HES de soins infirmiers, en 3ème année, l'une de ses jumelles étant apprentie assistante en soins communautaires, et la seconde, apprentie assistante vétérinaire. Elle a confirmé en substance qu'elle leur préparait à manger, avec l'aide de son mari, en s'étant au demeurant organisée pour faire plus en quantité, le soir, pour que les enfants puissent avoir à manger le lendemain à midi; que ces derniers s'occupent de leur chambre et de leurs propres affaires, de sorte que, de ce point de vue, la situation apparaît inchangée par rapport à décembre 2016, l'aide des membres de la famille et des proches étant non seulement exigible mais effective. Elle confirme également qu'elle n'a pas besoin de faire appel à l'aide d'une tierce personne pour l'aider, et montre que globalement elle arrive à s'organiser, quand bien même ses capacités à accomplir les tâches ménagères sont réduites depuis son atteinte à la santé, antérieure à la décision de référence du 27 janvier 2017.</w:t>
      </w:r>
    </w:p>
    <w:p>
      <w:r>
        <w:t>A/1774/2019 - 21/24 - C'est à juste titre qu'au vu des éléments du dossier l'intimé n'a pas procédé à une nouvelle enquête ménagère. La chambre de céans considère ainsi que sous l'angle de l'accomplissement de ses tâches ménagères, représentant le 75 % de ses activités dans le cadre du statut mixte confirmé par la décision entreprise, la situation reste identique à celle qui prévalait en janvier 2017 en tout cas.</w:t>
      </w:r>
    </w:p>
    <w:p>
      <w:r>
        <w:rPr>
          <w:b/>
        </w:rPr>
        <w:t>E. 12</w:t>
      </w:r>
    </w:p>
    <w:p>
      <w:r>
        <w:t>Il résulte donc de ce qui précède que c'est à juste titre que l'intimé, aux termes de l'instruction de la nouvelle demande de prestations de l'assurance-invalidité, a considéré que l'état de santé de l'assurée ne s'était pas aggravé depuis la dernière décision en force.</w:t>
      </w:r>
    </w:p>
    <w:p>
      <w:r>
        <w:rPr>
          <w:b/>
        </w:rPr>
        <w:t>E. 13</w:t>
      </w:r>
    </w:p>
    <w:p>
      <w:r>
        <w:t>Enfin, la recourante tente de soutenir que cela serait à tort que l'intimé aurait confirmé le statut mixte déterminé lors de la décision du 27 janvier 2017, et ne lui aurait pas reconnu, dans la décision entreprise, un statut de personne active, alléguant qu'elle aurait exercé une activité professionnelle à plein temps, si son état de santé le lui avait permis. Il convient dès lors d'examiner si la situation a changé depuis la précédente évaluation.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voir également sur ces questions Dupont Moser-Szeless [éditrices] Commentaire de la loi sur la partie générale des assurances sociales Helbing Lichtenhahn 2018 ad art. 17 notes 17 et 18).</w:t>
      </w:r>
    </w:p>
    <w:p>
      <w:r>
        <w:t>A/1774/2019 - 22/24 - En l'espèce, la recourante ne saurait être suivie. Son argumentation tend en effet et en substance à remettre en cause les conclusions auxquelles l'OAI était parvenu, en janvier 2017, aux termes de l'instruction de la première demande de prestations; or ce n'est évidemment pas le but du système légal régissant la révision au sens de l'art. 17 LPGA. Conformément au principe de jurisprudence rappelé précédemment, l'intimé a en effet confirmé implicitement le statut mixte prévalant lors de la décision du 27 janvier 2017, observant que le nouveau mode de calcul de la méthode mixte n'avait pas d'impact sur son degré d'invalidité, dès lors que son incapacité de travail était totale dans la sphère lucrative qui occupait, selon le statut retenu, le « 75 % » (en réalité on comprend bien qu'il s'agissait d'une erreur de plume, l'OAI visant en effet le taux de 25 % concernant la part active du statut mixte retenu et inchangé). En effet, l'intimé a à juste titre rappelé qu'il ressortait du rapport de l'enquête effectuée en 2016, que sans atteinte à la santé l'assurée aurait continué à travailler comme patrouilleuse scolaire à 25 %, ce taux d'activité lui convenant, d'autant qu'elle appréciait son travail. Entendue en comparution personnelle par la chambre de céans, elle a confirmé qu'à l'époque de l'enquête économique sur le ménage elle avait bien indiqué à l'infirmière-enquêtrice que, sans l'atteinte à la santé, elle aurait continué d'exercer son activité de patrouilleuse scolaire à 25 %, que le salaire lui convenait, qu'elle aimait son travail et que d'un autre côté son mari venait également d'être augmenté. Elle a expressément confirmé que si elle n'était pas tombée malade, elle aurait continué à exercer son activité de patrouilleuse scolaire au taux qu'elle exerçait avant l'atteinte à la santé. Répondant à une question de son conseil, dans le cadre de la préparation du recours, elle lui avait indiqué qu'à l'époque le métier de patrouilleuse scolaire ne lui convenait plus, mais ceci dans le contexte de son atteinte à la santé. Elle a toutefois une nouvelle fois confirmé que ce qu'elle avait dit précédemment était toujours valable. Elle relevait que dans le cadre de sa nouvelle demande de prestations, elle avait également sollicité des mesures professionnelles, car elle avait tout de même envie de reprendre une activité, et que, si l'intimé lui avait consenti ces mesures et qu'un poste comme une activité dans une onglerie lui avait été proposé, elle aurait accepté une activité à un taux supérieur à 25 %, même jusqu'à un plein temps. Or, une telle affirmation n'est pas suffisante au regard des principes de jurisprudence rappelés précédemment, d'autant qu'au vu de l'état de santé retenu, déjà lors de la décision du 27 janvier 2017, une incapacité de travail totale dans toute activité était retenue ; on voit mal dans ces conditions qu'alléguant une aggravation de son état de santé depuis lors, elle puisse sérieusement prétendre avoir souhaité reprendre une activité, dans un autre domaine que celui de patrouilleuse scolaire, à un taux supérieur à 25 %, pouvant aller jusqu'à un plein temps. On observera encore et finalement que la jurisprudence « Di Trizio » ne lui serait de toute manière pas applicable, et elle ne le soutient pas sérieusement, ceci à juste</w:t>
      </w:r>
    </w:p>
    <w:p>
      <w:r>
        <w:t>A/1774/2019 - 23/24 - titre. En effet, au moment où elle a débuté son activité de patrouilleuse scolaire, en 2007, ses enfants étaient âgés de 10 et 9 ans; au moment de l'atteinte à la santé, ils étaient déjà adolescents; et comme rappelé précédemment, sans atteinte à la santé à ce moment-là, elle aurait continué son activité à 25 %, et ceci sans lien avec ses responsabilités de mère. Dès lors, le fait que les enfants soient aujourd'hui âgés de 22 et 21 ans, ne constitue de toute manière pas une circonstance dont on devrait déduire un changement dans sa situation familiale qui l'aurait conduit à augmenter son taux de travail, sans atteinte à la santé.</w:t>
      </w:r>
    </w:p>
    <w:p>
      <w:r>
        <w:rPr>
          <w:b/>
        </w:rPr>
        <w:t>E. 14</w:t>
      </w:r>
    </w:p>
    <w:p>
      <w:r>
        <w:t>Ainsi, en tous points mal fondé, le recours doit être rejeté.</w:t>
      </w:r>
    </w:p>
    <w:p>
      <w:r>
        <w:rPr>
          <w:b/>
        </w:rPr>
        <w:t>E. 15</w:t>
      </w:r>
    </w:p>
    <w:p>
      <w:r>
        <w:t>La procédure n'étant pas gratuite (art. 69 al. 1bis LAI), il y a lieu de condamner la recourante au paiement d'un émolument de CHF 200.-.</w:t>
      </w:r>
    </w:p>
    <w:p>
      <w:r>
        <w:t>A/1774/2019 - 24/24 -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