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ATAS/481/2017 vom 13. Juni 2017</w:t>
      </w:r>
    </w:p>
    <w:p>
      <w:r>
        <w:t>GE Cour de justice, 2017-06-13, FR</w:t>
      </w:r>
    </w:p>
    <w:p>
      <w:r>
        <w:rPr>
          <w:b/>
        </w:rPr>
        <w:t xml:space="preserve">Quelle: </w:t>
      </w:r>
      <w:r>
        <w:t>https://mcp.opencaselaw.ch/entscheid/ge_gerichte_ATAS_481_2017</w:t>
      </w:r>
    </w:p>
    <w:p>
      <w:r>
        <w:t>FR: GE_GERICHTE ATAS/481/2017 du 13 juin 2017</w:t>
      </w:r>
    </w:p>
    <w:p>
      <w:r>
        <w:t>IT: GE_GERICHTE ATAS/481/2017 del 13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A/2039/2016 - 8/15 -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art. 89B de la loi sur la procédure administrative du 12 septembre 1985 - [LPA-GE - E 5 10]).</w:t>
      </w:r>
    </w:p>
    <w:p>
      <w:r>
        <w:rPr>
          <w:b/>
        </w:rPr>
        <w:t>E. 4</w:t>
      </w:r>
    </w:p>
    <w:p>
      <w:r>
        <w:t>Le litige porte sur le droit de la recourante à une rente d’invalidité, singulièrement sur le choix de la méthode d’évaluation de l’invalidité.</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w:t>
      </w:r>
    </w:p>
    <w:p>
      <w:r>
        <w:t>A/2039/2016 - 9/15 - 137 V 334 consid. 3.1). Ces trois méthodes peuvent certes aboutir à des taux d'invalidité différents, impliquant des conséquences assécurologiques différentes, qui n'autorisent pas à conclure à des inégalités dès lors qu'elles ont été voulues par le législateur en considération de la diversité des situations considérées (ATF 137 V 334 consid. 5.5.1).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w:t>
      </w:r>
    </w:p>
    <w:p>
      <w:r>
        <w:rPr>
          <w:b/>
        </w:rPr>
        <w:t>E. 8</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w:t>
      </w:r>
    </w:p>
    <w:p>
      <w:r>
        <w:t>A/2039/2016 - 10/15 -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du Tribunal fédéral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et du rapport d'enquête économique sur le ménage (consid. 2.3.2 non publié au Recueil officiel mais dans VSI 2003 p. 218 de l'ATF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A/2039/2016 - 11/15 -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premier lieu, il convient d’examiner quel statut reconnaître à la recourante. L’intimé considère qu’en bonne santé, l’assurée se serait consacrée à ses tâches ménagères. Il se fonde notamment sur une note établie à l’issue d’un entretien téléphonique avec l’assurée, dont il ressort que suite à la faillite de son dernier employeur, cette dernière aurait envisagé de s’inscrire au chômage, mais y aurait finalement renoncé. De plus, l’assurée ne travaille plus depuis 2004, et elle n’a</w:t>
      </w:r>
    </w:p>
    <w:p>
      <w:r>
        <w:t>A/2039/2016 - 12/15 - produit aucun document témoignant d’éventuelles recherches d’emploi intervenues jusqu’à la survenance son atteinte à la santé en 2011. De son côté, la recourante se prévaut d’un statut d’active, en soutenant que sans atteinte à la santé et sans faillite de son dernier employeur, elle aurait travaillé à plein temps, ce d’autant plus que son mari ne travaille plus. Elle souligne avoir déclaré à l’enquêtrice qu’en bonne santé, elle aurait travaillé à 100% comme vendeuse ou employée de bureau, ses enfants étant désormais adultes.</w:t>
      </w:r>
    </w:p>
    <w:p>
      <w:r>
        <w:rPr>
          <w:b/>
        </w:rPr>
        <w:t>E. 11</w:t>
      </w:r>
    </w:p>
    <w:p>
      <w:r>
        <w:t>De jurisprudence constante, le statut de l'assurée dépend du point de savoir si elle aurait exercé une activité lucrative si son état de santé le lui avait permis. En l’espèce, l’assurée, née en 1960, est mariée et mère de trois enfants. Sa fille aînée est décédée en 2011 à l’âge de 28 ans et ses deux autres enfants sont aujourd’hui âgés de 26 et 31 ans. Dans sa demande de prestations AI, l’assurée a indiqué qu’elle était femme au foyer depuis 2004, et son extrait de son compte individuel AVS confirme qu’elle n’a plus travaillé depuis lors. En outre, il ressort de la note d’entretien téléphonique du 28 septembre 2015 que suite à la faillite de son dernier employeur, l’assurée a tenté de s’inscrire au chômage, mais cette démarche s’avérant compliquée, elle a abandonné et s’est finalement contentée de subsister grâce au salaire de son mari. Il est vrai que lors de l’enquête économique sur le ménage, l’assurée a subséquemment déclaré qu’en bonne santé, elle aurait travaillé à plein temps, mais il faut rappeler qu’en présence de deux versions différentes d'un fait – en l’occurrence hypothétique –, la préférence doit être accordée à celle que l'assurée avait donnée alors qu'elle en ignorait peut-être les conséquences juridiques – ici celles ressortant de la note d’entretien téléphonique voire de la demande de prestations – les explications nouvelles pouvant être le fruit de réflexions ultérieures (ATF 121 V 45 consid. 2a p. 47; VSI 2000 p. 199 consid. 2d p. 201 [I 321/98]). De surcroît, il sied de relever que l’assurée n’a pas repris d’activité lucrative lorsque ses enfants sont devenus majeurs et qu’au moment où sa dépression est survenue en décembre 2011, cela faisait déjà plus de sept ans qu’elle avait cessé de travailler. Quoi qu’en dise la recourante, l’âge de ses enfants ne plaide pas pour l’admission d’un statut d’active, car ceux-ci sont financièrement indépendants et ne représentent donc plus une charge économique qui lui imposerait la reprise d’une activité lucrative. Par ailleurs, la recourante n’a pas un degré de formation ou des qualifications professionnelles telles qu’il serait dans l’ordre des choses qu’elle les mette à profit sur le marché du travail à son âge – 55 ans au moment de la décision attaquée – et après une période d’inactivité professionnelle aussi longue. Pour le reste, en invoquant que son époux a été licencié le 27 mai 2016, la recourante se prévaut d’un fait postérieur à la décision attaquée. Or, le juge appelé à se prononcer sur la légalité d'une décision rendue par une assurance sociale doit apprécier l'état de fait déterminant existant au moment où la décision attaquée a été rendue (ATF 121 V 366 consid. 1b).</w:t>
      </w:r>
    </w:p>
    <w:p>
      <w:r>
        <w:t>A/2039/2016 - 13/15 - Au vu de l'ensemble des circonstances, il paraît hautement vraisemblable que l’assurée n’aurait pas repris d’activité lucrative si elle était restée en bonne santé. C’est donc à bon droit que l’intimé a retenu un statut de personne non active.</w:t>
      </w:r>
    </w:p>
    <w:p>
      <w:r>
        <w:rPr>
          <w:b/>
        </w:rPr>
        <w:t>E. 12</w:t>
      </w:r>
    </w:p>
    <w:p>
      <w:r>
        <w:t>Il convient à présent de se prononcer sur le degré d’invalidité, que l’intimé a fixé en l’espèce à 8.35% en faisant siennes les conclusions du rapport d’enquête ménagère du 22 décembre 2015. Dans la mesure où la recourante conteste cette enquête, il convient d’en examiner la valeur probante. La chambre de céans constate que le rapport d’enquête, élaboré par une infirmière qualifiée en connaissance de la situation médicale et locale, tient compte des indications de l’assurée, qui sont relatées en détails et dont on peut considérer – faute d’indice contraire – qu’elles sont fidèlement retranscrites. Par ailleurs, ses conclusions quant aux empêchements dans les différents champs d’activité et à l’aide exigible des proches sont dûment motivées : les activités que la recourante peut effectuer seule ou délègue au contraire à ses proches sont décrites avec précision, tout comme les solutions trouvées au sein de la famille pour suppléer à ses empêchements. Partant, ce document paraît convaincant et la recourante, qui se borne à affirmer sans en apporter la preuve, que l’enquête n’aurait duré que 45 minutes et que l’enquêtrice serait restée dans son salon, n’établit pas en quoi les taux d’empêchement retenus seraient incompatibles avec son état de santé. De surcroît, même si l’on devait retenir – comme elle le requiert – des empêchements de 90% dans les postes « conduite du ménage » et « entretien du logement » pour tenir davantage compte des travaux qu’elle délègue à sa femme de ménage, cela ne changerait rien à l’issue du litige, puisque les empêchements pondérés augmenteraient dans les postes énoncés à 4%, respectivement 8.55%, et le degré d’invalidité à 16.15% (au lieu de 8.35%). S’agissant des médecins de la recourante, le Dr C______ a certes indiqué que sa patiente était inapte à tenir son ménage, mais sans faire état d’empêchements particuliers et sans motiver son point de vue, lequel s’avère donc impropre à mettre en doute l’enquête. Quant au Dr D______, psychiatre, il a indiqué le 7 février 2014 que « les limitations fonctionnelles objectivables dans l’activité ménage se situent à 10% (sur 20% théoriques) ». Malgré sa formulation peu claire, on peut raisonnablement comprendre cette conclusion dans le sens où, en février 2014, le Dr D______ estimait que l’aptitude de l’assurée à accomplir ses tâches ménagères était réduite de moitié. Ensuite, dans un rapport subséquent du 14 mars 2016, ce médecin a signalé que l’assurée bénéficiait d’une rémission durable de son trouble dépressif depuis le mois de novembre 2014, avec des empêchements résiduels dans la conduite du ménage, les courses et éventuellement la lessive. On ne décèle pas de divergence majeure entre le point de vue du Dr D______ et celui de l’enquêtrice, qui a précisément tenu compte des empêchements de l’assurée dans les champs d’activités énoncés. En outre, le taux d’empêchement global de 37.5% auquel cette dernière est parvenue avant de déduire l’aide exigible des membres de la famille</w:t>
      </w:r>
    </w:p>
    <w:p>
      <w:r>
        <w:t>A/2039/2016 - 14/15 - paraît cohérent avec les conclusions formulées par le Dr D______ en février 2014, vu la rémission du trouble dépressif intervenue entretemps. S’agissant enfin de l’aide exigible des proches, que l’enquêtrice a évaluée à 29.2%, c’est le lieu de rappeler qu’il n’existe pas, selon le Tribunal fédéral, de grandeur limite au-delà de laquelle l'aide des membres de la famille ne serait plus possible. La jurisprudence, qui prévoit que l'assuré doit en premier lieu organiser son travail et demander l'aide de ses proches dans une mesure convenable, pose comme critère que l'aide ne saurait constituer une charge excessive, où l'aide des membres de la famille va au-delà du soutien que l'on peut attendre de manière habituelle sans atteinte à la santé (ATF 133 V 504 consid. 4.2 ; 130 V 97 consid. 3.3.3). En l’espèce, au regard des faits existants au moment de la décision attaquée, rien ne permet de considérer que le fils et le mari de la recourante seraient incapables de contribuer aux tâches ménagères dans la mesure retenue. La recourante se réfère certes à un bref rapport psychiatrique du 2 septembre 2016, dont elle infère que son mari ne pourrait plus participer aux travaux ménagers, mais sur ce point également, elle se prévaut d’un fait postérieur à la décision attaquée, dont il n’y a pas lieu de tenir compte dans la présente procédure. En définitive, faute d’inexactitudes ou d’omissions dûment établies, une pleine valeur probante doit être reconnue au rapport d’enquête économique sur le ménage, dont il résulte un degré d’invalidité de 8.35%. Largement inférieur à 40%, ce taux est insuffisant pour ouvrir droit à une rente d’invalidité (art. 28 al. 1 LAI).</w:t>
      </w:r>
    </w:p>
    <w:p>
      <w:r>
        <w:rPr>
          <w:b/>
        </w:rPr>
        <w:t>E. 13</w:t>
      </w:r>
    </w:p>
    <w:p>
      <w:r>
        <w:t>Enfin, la recourante requiert qu’une expertise pluridisciplinaire soit mise en œuvre « afin de déterminer [ses] atteintes à la santé tant physiques que psychiques ayant une répercussion sur [sa] capacité de travail et [son] activité ménagère ». Selon la jurisprudence citée (cf. supra consid. 8), une enquête ménagère effectuée au domicile de la personne constitue en règle générale une base appropriée et suffisante pour évaluer les empêchements dans l'accomplissement des travaux habituels. Tel est le cas en l’espèce, dès lors que l’enquête du 22 décembre 2015 revêt pleine valeur probante et que les médecins de la recourante ne font état d’aucun élément que l’enquêtrice aurait omis de prendre en considération. En conséquence, il est inutile de compléter l’instruction par une expertise pluridisciplinaire ou de renvoyer la cause à l’intimé, par appréciation anticipée des preuves. Les conclusions en ce sens de la recourante sont rejetées.</w:t>
      </w:r>
    </w:p>
    <w:p>
      <w:r>
        <w:rPr>
          <w:b/>
        </w:rPr>
        <w:t>E. 14</w:t>
      </w:r>
    </w:p>
    <w:p>
      <w:r>
        <w:t>Au vu de ce qui précède, la décision attaquée doit être confirmée en tant qu’elle nie le droit de la recourante à une rente. Mal fondé, le recours est rejeté.</w:t>
      </w:r>
    </w:p>
    <w:p>
      <w:r>
        <w:rPr>
          <w:b/>
        </w:rPr>
        <w:t>E. 15</w:t>
      </w:r>
    </w:p>
    <w:p>
      <w:r>
        <w:t>La recourante, qui succombe, n’a pas droit à une indemnité de dépens (art. 61 let. g LPGA).</w:t>
      </w:r>
    </w:p>
    <w:p>
      <w:r>
        <w:rPr>
          <w:b/>
        </w:rPr>
        <w:t>E. 16</w:t>
      </w:r>
    </w:p>
    <w:p>
      <w:r>
        <w:t>La procédure de recours en matière de contestation portant sur l’octroi ou le refus de prestations de l’assurance-invalidité étant soumise à des frais de justice, la recourante sera condamnée au paiement d’un émolument, arrêté au montant minimal de CHF 200.- (art. 69 al. 1 bis LAI).</w:t>
      </w:r>
    </w:p>
    <w:p>
      <w:r>
        <w:t>A/2039/2016 - 15/15 -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