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ATAS/481/2015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https://mcp.opencaselaw.ch/entscheid/ge_gerichte_ATAS_481_2015</w:t>
      </w:r>
    </w:p>
    <w:p>
      <w:r>
        <w:t>FR: GE_GERICHTE ATAS/481/2015 du 25 juin 2015</w:t>
      </w:r>
    </w:p>
    <w:p>
      <w:r>
        <w:t>IT: GE_GERICHTE ATAS/481/2015 del 25 giugno 2015</w:t>
      </w:r>
    </w:p>
    <w:p>
      <w:pPr>
        <w:pStyle w:val="Heading2"/>
      </w:pPr>
      <w:r>
        <w:t>Volltext</w:t>
      </w:r>
    </w:p>
    <w:p>
      <w:r>
        <w:t>Siégeant : Karine STECK, Présidente; Diane BROTO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A/3797/2014 ATAS/481/2015 COUR DE JUSTICE Chambre des assurances sociales Arrêt du 25 juin 2015 3ème Chambre</w:t>
      </w:r>
    </w:p>
    <w:p>
      <w:r>
        <w:t>En la cause Madame A______, domiciliée à ANNECY LE VIEUX, France, comparant avec élection de domicile en l'étude de Maître BERCHER Henri recourante</w:t>
      </w:r>
    </w:p>
    <w:p>
      <w:r>
        <w:t>contre CAISSE NATIONALE SUISSE D’ASSURANCE EN CAS D’ACCIDENTS (Schweizerische Unfallversicherungs-anstalt ; SUVA), p.a. Divisioin juridique, sise Flumattstrasse 1, LUCERNE intimée</w:t>
      </w:r>
    </w:p>
    <w:p>
      <w:r>
        <w:t>A/3797/2014 - 2/2 - Vu le courrier de la CAISSE NATIONALE SUISSE D’ASSURANCE EN CAS D’ACCIDENTS (Schweizerische Unfallversicherungs-anstalt ; ci-après : la SUVA) du 21 novembre 2014, relatif à la prise en charge des séances de physiothérapie accordées annuellement à l’assurée ; Vu la demande de mesures provisionnelles du 9 décembre 2014 ; Vu la réponse de l’intimée du 9 janvier 2015 ; Vu l'audience du 25 juin 2015 ; Attendu qu'à l’issue de cette audience, la recourante a indiqué retirer sa demande; Qu'il convient d'en prendre acte et de rayer la cause du rôle.</w:t>
      </w:r>
    </w:p>
    <w:p>
      <w:r>
        <w:t>PAR CES MOTIFS, LA CHAMBRE DES ASSURANCES SOCIALES : 1. Prend acte du retrait de la demande de mesures provisionnelles.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