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ATAS/480/2024 vom 20. Juni 2024</w:t>
      </w:r>
    </w:p>
    <w:p>
      <w:r>
        <w:t>GE Cour de justice, 2024-06-20, FR</w:t>
      </w:r>
    </w:p>
    <w:p>
      <w:r>
        <w:rPr>
          <w:b/>
        </w:rPr>
        <w:t xml:space="preserve">Quelle: </w:t>
      </w:r>
      <w:r>
        <w:t>https://mcp.opencaselaw.ch/entscheid/ge_gerichte_ATAS_480_2024</w:t>
      </w:r>
    </w:p>
    <w:p>
      <w:r>
        <w:t>FR: GE_GERICHTE ATAS/480/2024 du 20 juin 2024</w:t>
      </w:r>
    </w:p>
    <w:p>
      <w:r>
        <w:t>IT: GE_GERICHTE ATAS/480/2024 del 20 giugno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suspension appliquée à la recourante pour absence à un rendez-vous fixé le 16 février 2024 avec un prestataire de MMT.</w:t>
      </w:r>
    </w:p>
    <w:p>
      <w:r>
        <w:t>A/1338/2024 - 4/7 -</w:t>
      </w:r>
    </w:p>
    <w:p>
      <w:r>
        <w:rPr>
          <w:b/>
        </w:rPr>
        <w:t>E. 3.1</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(art. 17 al. 1 LACI). Selon l’art. 17 al. 3 let. a LACI, l’assuré a l’obligation, lorsque l’autorité compétente le lui enjoint, de participer aux mesures relatives au marché du travail propres à améliorer son aptitude au placement. La violation de cette obligation expose l’assuré à une suspension de son droit à l’indemnité. En effet,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L'art. 30 al. 1 let. d LACI en liaison avec l'art. 17 al. 3 let. b LACI sanctionne le fait que l'entretien de conseil n'a pas pu se dérouler dans des conditions normales, soit à la date (et à l'heure) fixée(s) par l'office compétent (cf. art. 21 al. 2 OACI), ce qui comprend les arrivées tardives de plus de 15 minutes (arrêt du Tribunal fédéral 8C_498/2008 du 5 janvier 2009). L'assuré qui a oublié de se rendre à un entretien de conseil et qui s'en excuse spontanément ne peut pas être suspendu dans l'exercice de son droit à l'indemnité si l'on peut admettre, par ailleurs, au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C_123/04 du 18 juillet 2005). Le Tribunal fédéral a jugé qu'était analogue au cas précité celui d'un assuré qui avait enregistré par inadvertance une date erronée dans son agenda électronique et auquel aucun autre manquement ne pouvait être reproché durant les trois délais- cadres dont il avait bénéficié (arrêt 8C_157/2009 du 3 juillet 2009 consid. 4.2).</w:t>
      </w:r>
    </w:p>
    <w:p>
      <w:r>
        <w:rPr>
          <w:b/>
        </w:rPr>
        <w:t>E. 3.2</w:t>
      </w:r>
    </w:p>
    <w:p>
      <w:r>
        <w:t>En l'espèce, il n'est pas contesté que la recourante a fait défaut à l’entretien qui lui avait été fixé par le prestataire en vue de mettre en place une MMT le 16 févier 2024.</w:t>
      </w:r>
    </w:p>
    <w:p>
      <w:r>
        <w:t>A/1338/2024 - 5/7 - Il ressort du certificat médical produit tardivement que cette absence était a priori justifiée, même si les doutes émis par l’intimé quant au bien-fondé de ce certificat, peuvent apparaître légitimes au vu des circonstances dans lesquelles il a été établi et sa production tardive. Cela étant, ainsi que le fait remarquer l’intimé, il n’en demeure pas moins que la recourante a commis une faute en n’avertissant pas le prestataire de son absence, tout comme elle avait déjà omis de le faire à plusieurs reprises dans les jours précédents. On ne saurait non plus retenir qu’elle se serait excusée spontanément, puisqu’elle n’a réagi qu’après avoir été invitée à s’expliquer. En conséquence, il y a bel et bien eu manquement de la part de la recourante, en tant qu’elle a omis d'aviser le prestataire de son absence. La sanction est dès lors justifiée. Reste à en examiner la quotité.</w:t>
      </w:r>
    </w:p>
    <w:p>
      <w:r>
        <w:rPr>
          <w:b/>
        </w:rPr>
        <w:t>E. 4.1</w:t>
      </w:r>
    </w:p>
    <w:p>
      <w:r>
        <w:t>Selon l'art. 30 al. 3 LACI, la durée de la suspension du droit à l'indemnité de chômage est proportionnelle à la gravité de la faute. En vertu de l'art. 45 al. 3 OACI,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Selon le barème (Bulletin LACI IC ch. D79 3.B.1) établi par le SECO, lorsque l'assuré ne se conforme pas à des instructions, la sanction se situe entre 3 et 10 jours s'il s'agit du premier manquement. Contrairement au pouvoir d'examen du Tribunal fédéral, celui de l'autorité judiciaire de première instance n'est pas limité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w:t>
      </w:r>
    </w:p>
    <w:p>
      <w:r>
        <w:t>A/1338/2024 - 6/7 -</w:t>
      </w:r>
    </w:p>
    <w:p>
      <w:r>
        <w:rPr>
          <w:b/>
        </w:rPr>
        <w:t>E. 4.2</w:t>
      </w:r>
    </w:p>
    <w:p>
      <w:r>
        <w:t>En l'occurrence, force est de constater que la sanction appliquée par l'intimé correspond à ce que prévoit le barème du SECO. Sa quotité n'apparaît donc pas injustifiée. Il en résulte que la décision de sanction en cause n’apparaît pas critiquable. Le recours est rejeté. La procédure est gratuite (art. 61 let. fbis LPGA a contrario).</w:t>
      </w:r>
    </w:p>
    <w:p>
      <w:r>
        <w:t>***</w:t>
      </w:r>
    </w:p>
    <w:p>
      <w:r>
        <w:t>A/1338/2024 - 7/7 -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