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ATAS/480/2022 vom 27. Mai 2022</w:t>
      </w:r>
    </w:p>
    <w:p>
      <w:r>
        <w:t>GE Cour de justice, 2022-05-27, FR</w:t>
      </w:r>
    </w:p>
    <w:p>
      <w:r>
        <w:rPr>
          <w:b/>
        </w:rPr>
        <w:t xml:space="preserve">Quelle: </w:t>
      </w:r>
      <w:r>
        <w:t>https://mcp.opencaselaw.ch/entscheid/ge_gerichte_ATAS_480_2022</w:t>
      </w:r>
    </w:p>
    <w:p>
      <w:r>
        <w:t>FR: GE_GERICHTE ATAS/480/2022 du 27 mai 2022</w:t>
      </w:r>
    </w:p>
    <w:p>
      <w:r>
        <w:t>IT: GE_GERICHTE ATAS/480/2022 del 27 maggio 2022</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Interjeté dans le délai de trente jours (art. 56 LPGA ; art. 62 al. 1 de la loi sur la procédure administrative du 12 septembre 1985 [LPA - E 5 10]), le recours est recevable.</w:t>
      </w:r>
    </w:p>
    <w:p>
      <w:r>
        <w:rPr>
          <w:b/>
        </w:rPr>
        <w:t>E. 5</w:t>
      </w:r>
    </w:p>
    <w:p>
      <w:r>
        <w:t>Le litige porte sur le bien-fondé de la décision sur opposition rendue par la SUVA en date du 7 mai 2019 et mettant fin aux prestations versées par cette dernière au recourant, avec effet au 20 janvier 2019.</w:t>
      </w:r>
    </w:p>
    <w:p>
      <w:r>
        <w:rPr>
          <w:b/>
        </w:rPr>
        <w:t>E. 6.1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w:t>
      </w:r>
    </w:p>
    <w:p>
      <w:r>
        <w:t>A/2180/2019 - 8/16 - (ATF 119 V 335 consid. 1 ; ATF 118 V 286 consid. 1b et les références) et adéquate avec l’événement assuré (ATF 125 V 456 consid. 5a et les références).</w:t>
      </w:r>
    </w:p>
    <w:p>
      <w:r>
        <w:rPr>
          <w:b/>
        </w:rPr>
        <w:t>E. 6.2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6.3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rPr>
          <w:b/>
        </w:rPr>
        <w:t>E. 6.4</w:t>
      </w:r>
    </w:p>
    <w:p>
      <w:r>
        <w:t>Le fait que des symptômes douloureux ne se sont manifestés qu'après la survenance d'un accident ne suffit pas à établir un rapport de causalité naturelle avec cet accident (raisonnement « post hoc, ergo propter hoc » ;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t>A/2180/2019 - 9/16 -</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9.1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A/2180/2019 - 10/16 -</w:t>
      </w:r>
    </w:p>
    <w:p>
      <w:r>
        <w:rPr>
          <w:b/>
        </w:rPr>
        <w:t>E. 9.3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9.4</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9.5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9.6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A/2180/2019 - 11/16 - violation du principe mentionné (arrêt du Tribunal fédéral 9C/973/2011 du 4 mai 2012 consid. 3.2.1).</w:t>
      </w:r>
    </w:p>
    <w:p>
      <w:r>
        <w:rPr>
          <w:b/>
        </w:rPr>
        <w:t>E. 9.7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w:t>
      </w:r>
    </w:p>
    <w:p>
      <w:r>
        <w:t>A/2180/2019 - 12/16 - appréciation des preuves, d'établir un état de fait qui correspond, au degré de la vraisemblance prépondérante, à la réalité (ATF 139 V 176 consid. 5.2 et les références).</w:t>
      </w:r>
    </w:p>
    <w:p>
      <w:r>
        <w:rPr>
          <w:b/>
        </w:rPr>
        <w:t>E. 11.2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11.3</w:t>
      </w:r>
    </w:p>
    <w:p>
      <w:r>
        <w:t>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12.1</w:t>
      </w:r>
    </w:p>
    <w:p>
      <w:r>
        <w:t>En l’espèce, le recourant considère que sa santé n’est pas encore totalement rétablie suite à l’accident du 10 avril 2018, et que les lésions encore présentes sont très clairement en lien de causalité avec ce dernier.</w:t>
      </w:r>
    </w:p>
    <w:p>
      <w:r>
        <w:rPr>
          <w:b/>
        </w:rPr>
        <w:t>E. 12.2</w:t>
      </w:r>
    </w:p>
    <w:p>
      <w:r>
        <w:t>L’intimée de son côté a mis un terme à ses prestations au 20 janvier 2019 au motif qu’en l’absence d’anomalie clinique objective, que ce soit niveau de la cheville droite, de l’épaule gauche ou de la hanche gauche, il y a lieu de suivre les conclusions du Dr F______ selon lesquelles l’accident a largement cessé de déployer ses effets délétères à la date du rapport d’examen soit le 10 décembre 2018. Lors de leur audition, les Drs F______ et E______ sont tombés d’accord sur un certain nombre de points. Le seul sujet sur lequel leurs avis divergeaient était celui de la hanche gauche. Selon le Dr F______, médecin-conseil de l’intimée, si le problème de hanche avait véritablement été identifié dès le départ, cela aurait été mentionné lors de l’examen au centre d’urgence de D______ ; en se fondant sur son expérience, il considérait</w:t>
      </w:r>
    </w:p>
    <w:p>
      <w:r>
        <w:t>A/2180/2019 - 13/16 - que les douleurs consécutives à l’accident devaient cesser après un délai de six mois. Le Dr E______, médecin traitant du recourant, a quant à lui confirmé que le recourant s’était plaint de douleurs à la hanche, environ deux à trois semaines après l’accident, et a ajouté que même en l’absence de lésion osseuse, les douleurs pouvaient persister jusqu’à trois ans après un accident. La chambre de céans constate qu’à dire d’expert et à la lecture des radiographies et des IRM, aucun élément objectif ne permet, d’une part, de rendre plausible un trouble de la santé, au niveau de la hanche gauche susceptible d’expliquer les douleurs dont se plaint le recourant et d’autre part, de rendre plausible un lien de causalité entre les troubles dont se plaint le recourant au niveau de sa hanche gauche et l’accident du 10 avril 2018. Un certain nombre d’éléments objectifs viennent appuyer cette constatation ; tout d’abord, le fait que le recourant ne se soit pas plaint de douleurs, à la hanche gauche, juste après l’accident alors qu’il était soigné au service d’urgence de D______, qu’aucune radiographie n’ait été effectuée pour investiguer un tel trouble et que le recourant, dans ses premières déclarations à l’assurance, n’ait pas fait mention de troubles à la hanche gauche, étant rappelé qu’il a déclaré (sic) « j’étais en train de descendre de la machine et j’ai glissé sur la deuxième marche et je suis tombé avec le pied droit et [je] l’ai tordu et suis tombé en arrière et me suis fait mal au bras gauche » (déclaration de sinistre du 11 avril 2018). Il n’est fait mention, ni d’une chute avec réception sur la fesse gauche, ni d’un étai métallique, ni d’une douleur à la hanche gauche. Dans le rapport médical initial LAA complété par le centre d’urgence de D_______, en date du 8 mai 2018, suite à l’intervention du 10 avril 2018, il est mentionné une « entorse cheville droite et une contusion épaule gauche ». Sous la rubrique « constatations objectives », aucune tuméfaction, contusion ou inflammation n’est mentionnée concernant la hanche gauche. Ce n’est que dans le rapport du Dr E______, daté du 26 avril 2018, que l’on voit, pour la première fois, la mention d’une contusion à la hanche gauche. Dans le formulaire de traitement proposé par le médecin traitant E______, en date du 26 juin 2018, il est mentionné sous la rubrique « mesures physio thérapeutiques » « Suite (illisible) épaule-cheville droite », la hanche gauche n’est pas mentionnée. Le même médecin, dans son rapport médical intermédiaire du 25 octobre 2018, explique sous la rubrique « évolution subjective ou objective » : « Très lente, sans véritable amélioration subjective des douleurs et du handicap ressenti, excepté pour l’épaule qui va mieux ». Dans son courrier du 5 mars 2019, à la demande du mandataire du recourant, le Dr E______ explique les raisons pour lesquelles, à son sens, il existe un lien de causalité entre l’atteinte de la hanche gauche et l’accident du 10 avril 2018 au motif que la hanche gauche n’a jamais fait l’objet auparavant d’un quelconque autre</w:t>
      </w:r>
    </w:p>
    <w:p>
      <w:r>
        <w:t>A/2180/2019 - 14/16 - traumatisme et que le recourant n’a jamais souffert de cette articulation ou de cette région anatomique. Or, cette appréciation est intégralement fondée sur les souffrances décrites par le recourant, notamment une « douleur tendineuse fessière gauche », aucun traumatisme ne pouvant être objectivé par le Dr E______. Ces éléments, extraits des rapports médicaux du médecin traitant, viennent renforcer la nature subjective des douleurs alléguées par le recourant, sans qu’aucun élément objectif ne puisse venir supporter ces dernières. S’agissant du Dr F______, son rapport d’examen du 10 décembre 2018 énumère les pièces sur lesquelles il s’est fondé pour donner son appréciation, ce qui permet de constater qu’il était en possession de tous les documents topiques lui permettant de se faire une opinion médicale, même en l’absence du recourant, qui ne s’est pas présenté à l’examen, en dépit de la lettre de convocation du 5 décembre 2018, qu’il a dit avoir reçue après la date fixée pour l’examen. C’est le lieu de rappeler que l’importance de l’examen personnel de l’assuré par l’expert est reléguée au second plan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Cela est d’autant plus pertinent dans le cas d’espèce, dès lors qu’aucun élément objectif ne permet de supporter les troubles de la santé de la hanche gauche et qu’il est vraisemblable que même si l’assuré s’était présenté à l’examen, il n’aurait pu faire état que de ses douleurs ce qui, comme nous l’avons vu supra, est un élément subjectif. L’appréciation faite dans son rapport, par le Dr F______, bien que courte (une page) n’en est pas moins complète, le médecin-conseil constatant que les évaluations cliniques effectuées aussi bien par le médecin traitant que par les médecins de D______ n’ont pas mis en évidence d’anomalie clinique objective, ajoutant que le bilan radiologique du 10 avril 2018 ne montre aucune anomalie traumatique susceptible d’être responsable d’une incapacité de travail de longue durée. Le médecin conclut qu’à la date de son rapport, soit le 10 décembre 2018, le traumatisme consécutif à l’accident du 10 avril 2018 a cessé largement de déployer ses effets délétères. La chambre de céans constate qu’aucun élément objectif proposé par le médecin traitant ne vient contredire le rapport effectué par le médecin-conseil de l’intimée. À cela s’ajoute que le juge peut et doit tenir compte du fait que, selon l'expérience, le médecin traitant est généralement enclin, en cas de doute, à prendre parti pour son patient en raison de la relation de confiance qui l'unit à ce dernier.</w:t>
      </w:r>
    </w:p>
    <w:p>
      <w:r>
        <w:t>A/2180/2019 - 15/16 -</w:t>
      </w:r>
    </w:p>
    <w:p>
      <w:r>
        <w:rPr>
          <w:b/>
        </w:rPr>
        <w:t>E. 12.3</w:t>
      </w:r>
    </w:p>
    <w:p>
      <w:r>
        <w:t>À l’aune de ce qui précède, les conclusions du Dr F______ sont partagées par la chambre de céans, qui considère que son rapport d’examen présente une valeur probante.</w:t>
      </w:r>
    </w:p>
    <w:p>
      <w:r>
        <w:rPr>
          <w:b/>
        </w:rPr>
        <w:t>E. 12.4</w:t>
      </w:r>
    </w:p>
    <w:p>
      <w:r>
        <w:t>Dans sa conclusion subsidiaire, le mandataire du recourant demande qu’une expertise judiciaire soit ordonnée.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ATF 122 V 157 consid. 1d). En l’occurrence, lors de leur audition en date du 2 décembre 2021, les Drs F______ et E______ ont tous deux considéré qu’il était peu probable qu’une expertise puisse apporter des informations exploitables. La chambre de céans fait sienne les appréciations des médecins et considère qu’une expertise judiciaire est inutile.</w:t>
      </w:r>
    </w:p>
    <w:p>
      <w:r>
        <w:rPr>
          <w:b/>
        </w:rPr>
        <w:t>E. 12.5</w:t>
      </w:r>
    </w:p>
    <w:p>
      <w:r>
        <w:t>Au vu de ce qui précède, le recours est rejeté.</w:t>
      </w:r>
    </w:p>
    <w:p>
      <w:r>
        <w:rPr>
          <w:b/>
        </w:rPr>
        <w:t>E. 13</w:t>
      </w:r>
    </w:p>
    <w:p>
      <w:r>
        <w:t>Pour le surplus, la procédure est gratuite (art. 61 let. a LPGA).</w:t>
      </w:r>
    </w:p>
    <w:p>
      <w:r>
        <w:t>* * * * *</w:t>
      </w:r>
    </w:p>
    <w:p>
      <w:r>
        <w:t>A/2180/2019 - 16/16 -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