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ATAS/480/2016 vom 21. Juni 2016</w:t>
      </w:r>
    </w:p>
    <w:p>
      <w:r>
        <w:t>GE Cour de justice, 2016-06-21, FR</w:t>
      </w:r>
    </w:p>
    <w:p>
      <w:r>
        <w:rPr>
          <w:b/>
        </w:rPr>
        <w:t xml:space="preserve">Quelle: </w:t>
      </w:r>
      <w:r>
        <w:t>https://mcp.opencaselaw.ch/entscheid/ge_gerichte_ATAS_480_2016</w:t>
      </w:r>
    </w:p>
    <w:p>
      <w:r>
        <w:t>FR: GE_GERICHTE ATAS/480/2016 du 21 juin 2016</w:t>
      </w:r>
    </w:p>
    <w:p>
      <w:r>
        <w:t>IT: GE_GERICHTE ATAS/480/2016 del 21 giugno 2016</w:t>
      </w:r>
    </w:p>
    <w:p>
      <w:pPr>
        <w:pStyle w:val="Heading2"/>
      </w:pPr>
      <w:r>
        <w:t>Erwägungen</w:t>
      </w:r>
    </w:p>
    <w:p>
      <w:r>
        <w:rPr>
          <w:b/>
        </w:rPr>
        <w:t>E. 9</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10</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A/3694/2015 - 26/31 -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b/bb. Dans la mesure où ils sont requis par la SUVA, les avis médicaux de la Clinique de réadaptation de Bellikon ne constituent pas des expertises de spécialistes indépendants de sorte que l'art. 44 LPGA n'est pas applicable (ATF 136 V 117 consid. 3.4). Il en va de même des avis médicaux de la Clinique romande de réadaptation. b/cc.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w:t>
      </w:r>
    </w:p>
    <w:p>
      <w:r>
        <w:t>A/3694/2015 - 27/31 -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b/dd.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rPr>
          <w:b/>
        </w:rPr>
        <w:t>E. 11</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A/3694/2015 - 28/31 -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 SVR 2010 IV n. 49 p. 151, consid. 3.5; arrêt du Tribunal fédéral 8C_760/2011 du 26 janvier 2012 consid. 3).</w:t>
      </w:r>
    </w:p>
    <w:p>
      <w:r>
        <w:rPr>
          <w:b/>
        </w:rPr>
        <w:t>E. 12</w:t>
      </w:r>
    </w:p>
    <w:p>
      <w:r>
        <w:t>En l’espèce, l’OAI s’est fondé sur le rapport de la CRR du 15 octobre 2014 ainsi que sur les brefs avis de son SMR pour octroyer des rentes limitées dans le temps au recourant et en faveur de ses enfants. La question qui se pose est dès lors celle de savoir si ces documents disposent d’une pleine valeur probante. a/aa. À titre liminaire, il y a lieu de relever que dans la mesure où il a été requis par la SUVA, le rapport de la CRR ne constitue pas une expertise au sens de l’art. 44 LPGA (voir ATF 136 V 117). Cela ne lui ôte cependant pas toute valeur probante. En effet, ni l’origine, ni la désignation ne sont déterminants pour la valeur probante d’un rapport médical, mais son contenu. Partant, il y a lieu d’examiner si ledit rapport répond aux réquisits jurisprudentiels en la matière. a/bb. Cela étant précisé, force est de constater que si les médecins de la CRR ont pris en considération les plaintes du recourant, qu’ils ont au demeurant brièvement résumées dans leur rapport du 15 octobre 2014, ils n’ont pas établi d’anamnèse de sorte qu’on ne sait pas s’ils ont eu accès à l’intégralité du dossier médical du recourant, celui-ci n’y étant pas résumé. Bien plus, des doutes subsistent à ce propos, dès lors que certains rapports d’imagerie, tels que l’IRM cervicale du 28 janvier 2011 ou encore le SPECT/CT du 16 janvier 2012, ne sont pas cités et que les atteintes mises en évidence lors de ces examens n’ont pas été prises en considération à titre de diagnostics. Ainsi en est-il des discopathies L1-L2 et L2-L3, lesquels ressortent du rapport relatif au SPECT/CT effectué le 16 janvier 2012 ou encore de la protrusion discale C5-C6 en contact avec la racine C6 droite associée à une surcharge facettaire et de la discopathie circonférentielle avec protrusion</w:t>
      </w:r>
    </w:p>
    <w:p>
      <w:r>
        <w:t>A/3694/2015 - 29/31 - discale gauche à l’étage C6-C7, notamment, lesquelles ont été illustrées par l’IRM cervicale du 28 janvier 2011. Il existe également des doutes quant au caractère complet des examens effectués par les médecins de la CRR En effet, dans le rapport du 15 octobre 2014, les médecins de la CRR ont fait état d’un trouble de l’humeur, toutefois insuffisant pour que le diagnostic d’état dépressif puisse être posé. Or, le rapport précité ne précise à aucun moment le nom du médecin ayant examiné le recourant. On ne sait donc pas si l’examen a été réalisé par un médecin spécialisé en psychiatrie, ce qui a une incidence sur la valeur probante du rapport (voir notamment arrêt du Tribunal fédéral 9C_270/2007 du 12 août 2008 consid. 3.3). Le rapport ne détaille pas non plus les symptômes évoqués ainsi que les constatations objectives permettant d’arriver à la conclusion précitée. Or, deux mois auparavant, le Dr F______ avait admis une capacité de travail de 50% en raison des troubles psychiques sur la base des appréciations du Dr I______. Il paraît ainsi pour le moins surprenant que la situation ait évolué à tel point qu’il n’y ait plus aucun trouble psychique d’une intensité suffisante pour être incapacitant. La chambre de céans est également d’avis que les points litigieux importants du dossier n’ont pas fait l’objet d’une étude circonstanciée. En effet, les conséquences des atteintes dégénératives (rachis, hanche, épaule gauche) sur la capacité de travail n’ont tout simplement pas été examinées. En outre, il est surprenant qu’au vu de la persistance de douleurs importantes, prétendument non explicables sur le plan somatique, des investigations sur le plan psychique n’aient pas été menées afin de confirmer l’allégation desdites douleurs par un diagnostic psychiatrique. Enfin, les conclusions des médecins de la CRR ne sont pas motivées. On ne sait ainsi pas pour quels motifs les plaintes et limitations fonctionnelles du recourant, s’agissant notamment du rachis, ne s’expliqueraient pas principalement par les lésions objectives constatées pendant le séjour - alors qu’il est établi qu’il souffre d’atteintes radiculaires au niveau des lombaires - et pour quels motifs des facteurs contextuels (absence de qualifications professionnelles et éloignement du monde du travail depuis 2010) joueraient un rôle plus important, influençant défavorablement le retour au travail. En outre, on ne comprend pas non plus pourquoi les limitations fonctionnelles retenues par les médecins de la CRR sont moins importantes à l’issue du séjour en 2014 (pas de port de charges répété de plus de 5 à 10 kg et pas d’activités nécessitant le maintien d’une position statique debout ou assise) qu’en 2011 (pas de port de charges au-delà de 10 à 15 kg, pas de travaux en porte-à-faux, pas de travail nécessitant des positions prolongées ni de travaux prolongés au sol ou imposant des mouvements de flexion-torsion du tronc), alors que l’état de santé du recourant s’est aggravé s’agissant du rachis avec l’apparition ou l’aggravation d’atteintes dégénératives et qu’une atteinte aux deux épaules est venue s’ajouter aux atteintes du rachis. Si le caractère lacunaire du rapport a implicitement été relevé par la Dresse R______, laquelle a complété les limitations fonctionnelles retenues par la CRR en y incluant les suivantes afin de tenir compte de l’atteinte à</w:t>
      </w:r>
    </w:p>
    <w:p>
      <w:r>
        <w:t>A/3694/2015 - 30/31 - l’épaule : pas de port de charges au-dessus de l’horizontale supérieures à 10 kg de manière fréquente et pas de mouvements répétitifs au-dessus de l’horizontal, le SMR n’en fait aucunement mention. a/cc. Compte tenu des considérations qui précèdent, force est de constater que le rapport de la CRR du 15 octobre 2014 est dénué de toute valeur probante de sorte que l’OAI ne pouvait se fonder sur lui pour fixer le taux d’invalidité et octroyer une rente limitée dans le temps, l’état de santé du recourant n’étant pas suffisamment instruit. b. S’agissant des brefs avis du SMR établis par le Dr S______, force est de constater qu’ils ne contiennent aucune nouvelle conclusion médicale mais portent en réalité une appréciation sur celles déjà existantes et plus particulièrement sur les conclusions du rapport de la CRR du 15 octobre 2014, dont ils reprennent en substances les conclusions. Or, comme on l’a vu précédemment, le rapport de la CRR précité est dénué de toute valeur probante, étant notamment lacunaire. Dans ces circonstances, les brefs avis du SMR ne peuvent être pris en considération pour examiner la capacité de travail du recourant. c. Par conséquent, force est de constater que le dossier soumis à la chambre de céans a été instruit de manière sommaire et lacunaire par l’intimé. En effet, comme cela a été relevé ci-dessus, le rapport de la CRR ne se prononce à aucun moment sur les atteintes dégénératives dont souffre le recourant et l’aspect psychique n’a fait l’objet d’aucune instruction approfondie. La chambre de céans n’est ainsi pas en mesure, en l’état actuel du dossier, de tirer des conclusions définitives quant aux atteintes à la santé du recourant et leurs répercussions sur la capacité de travail. Dans ces circonstances, il y a lieu de renvoyer la cause à l’intimé pour que celui-ci mette en place une expertise pluridisciplinaire, orthopédique et psychiatrique, laquelle devra se prononcer de manière circonstanciée sur toutes les atteintes dont souffre le recourant. Par ailleurs, il appartiendra aux experts nommés par l’intimé de s’adjoindre le cas échéant les services d’un neuropsychologue si le besoin s’en fait ressentir.</w:t>
      </w:r>
    </w:p>
    <w:p>
      <w:r>
        <w:rPr>
          <w:b/>
        </w:rPr>
        <w:t>E. 13</w:t>
      </w:r>
    </w:p>
    <w:p>
      <w:r>
        <w:t>Au vu de ce qui précède, le recours sera admis et les décisions des 21 septembre 2015 seront annulées. Le recourant obtenant gain de cause, une indemnité de CHF 1'500.- lui sera accordée à titre de participation à ses frais et dépens (art. 61 let. g LPGA;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200.-.</w:t>
      </w:r>
    </w:p>
    <w:p>
      <w:r>
        <w:t>A/3694/2015 - 31/31 -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