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ATAS/47/2020 vom 28. Januar 2020</w:t>
      </w:r>
    </w:p>
    <w:p>
      <w:r>
        <w:t>GE Cour de justice, 2020-01-28, FR</w:t>
      </w:r>
    </w:p>
    <w:p>
      <w:r>
        <w:rPr>
          <w:b/>
        </w:rPr>
        <w:t xml:space="preserve">Quelle: </w:t>
      </w:r>
      <w:r>
        <w:t>https://mcp.opencaselaw.ch/entscheid/ge_gerichte_ATAS_47_2020</w:t>
      </w:r>
    </w:p>
    <w:p>
      <w:r>
        <w:t>FR: GE_GERICHTE ATAS/47/2020 du 28 janvier 2020</w:t>
      </w:r>
    </w:p>
    <w:p>
      <w:r>
        <w:t>IT: GE_GERICHTE ATAS/47/2020 del 28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A/1210/2019 - 8/13 -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du recourant à une rente d’invalidité dès le 1er août 2018 et à l’octroi de mesures d’ordre professionnel.</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A/1210/2019 - 9/13 -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w:t>
      </w:r>
    </w:p>
    <w:p>
      <w:r>
        <w:t>A/1210/2019 - 10/13 - produits par l’assuré, afin de voir s’ils sont de nature à éveiller des doutes sur la fiabilité et la validité des constatations du médecin de l’assurance (arrêts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w:t>
      </w:r>
    </w:p>
    <w:p>
      <w:r>
        <w:t>A/1210/2019 - 11/13 - expertise judiciaire (ATF 135 V 465 consid. 4 ; arrêt du Tribunal fédéral 8C_923/2010 du 2 novembre 2011 consid. 5.2).</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l’occurrence, sur le plan somatique, le diagnostic de luxation de l’épaule gauche n’est pas contesté. Les limitations fonctionnelles découlant de ce diagnostic, soit l’impossibilité de porter des charges et d’utiliser les membres supérieurs au-dessus des épaules, ne sont pas non plus remises en cause. Les parties s’opposent en revanche sur la question de la capacité de travail du recourant dans une activité adaptée. La chambre de céans relève d’emblée que, sur ce point, le dossier contient uniquement les rapports du Dr C______, chirurgien traitant de l’intéressé. Dans ses rapports des 29 novembre 2018 et 14 décembre 2018, le médecin a retenu une capacité de travail nulle dans l’activité habituelle et de 50 % dans une activité</w:t>
      </w:r>
    </w:p>
    <w:p>
      <w:r>
        <w:t>A/1210/2019 - 12/13 - adaptée. Cette appréciation est contestée par le SMR qui, sans la moindre motivation, retient une capacité de travail de 100 % dans une activité adaptée. Force est cependant de constater que le rapport de synthèse établi par le SMR ne repose pas sur une observation clinique, mais sur une appréciation fondée exclusivement sur une analyse des documents médicaux versés au dossier. Le résultat de cette appréciation n’est toutefois corroboré par aucune pièce médicale. Il est vrai qu’en principe une personne limitée dans le port de charges et l’utilisation des membres supérieurs au-dessus des épaules comme le recourant peut théoriquement travailler dans une activité légère à 100 %. Néanmoins, le dossier ne contient aucun rapport médical l’attestant et l’avis du SMR n’est pas propre à mettre en cause l’évaluation du Dr C______. À cela s’ajoute que les documents médicaux versés au dossier mentionnent des douleurs persistantes qui peuvent réduire le rendement du recourant (cf. rapport médical intermédiaire du Dr C______ du 20 juin 2018, rapport de consultation du Dr C______ du 18 juillet 2018, rapport de consultation du Dr C______ du 29 novembre 2018, rapport de consultation du Dr F______ du 14 octobre 2019, rapport de consultation du Dr C______ du 3 décembre 2019) et qui ont conduit les médecins à préconiser une nouvelle intervention de stabilisation de l’épaule. En pareilles circonstances, il appartenait au SMR d’étayer son point de vue divergent avec des explications claires et convaincantes. Or, il ne l’a pas fait, se contentant d’écarter sans motivation le seul avis médical versé au dossier concernant, sur le plan somatique, la capacité de travail du recourant dans une activité adaptée. Faute d’une analyse exhaustive de la situation médicale du recourant, l’intimé ne pouvait faire l’économie d’une mesure d’instruction complémentaire avant de rendre sa décision de refus de prestations. Compte tenu de ce qui précède, il convient de renvoyer la cause à l’intimé pour qu’il procède à un complément d’instruction. En présence de rapports médicaux du seul chirurgien traitant du recourant, la chambre de céans juge en effet insuffisant l’avis du SMR fondé sur le seul dossier et en l’absence de toute anamnèse ou examen clinique de l’intéressé. La cause étant renvoyée à l’intimé, il lui appartiendra également d’examiner le volet psychique de l’état de santé du recourant, en tenant compte en particulier des nouveaux éléments versés à la procédure.</w:t>
      </w:r>
    </w:p>
    <w:p>
      <w:r>
        <w:rPr>
          <w:b/>
        </w:rPr>
        <w:t>E. 9</w:t>
      </w:r>
    </w:p>
    <w:p>
      <w:r>
        <w:t>Au vu de ce qui précède, le recours sera partiellement admis, la décision annulée et la cause renvoyée à l’intimé pour instruction complémentaire au sens des considérants. Le recourant obtenant partiellement gain de cause, une indemnité de CHF 2'500.- lui sera octroyée à titre de dépens. Un émolument de CHF 200.- sera mis à la charge de l’intimé. * * * * * *</w:t>
      </w:r>
    </w:p>
    <w:p>
      <w:r>
        <w:t>A/1210/2019 - 13/13 -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