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ATAS/47/2019 vom 21. Januar 2019</w:t>
      </w:r>
    </w:p>
    <w:p>
      <w:r>
        <w:t>GE Cour de justice, 2019-01-21, FR</w:t>
      </w:r>
    </w:p>
    <w:p>
      <w:r>
        <w:rPr>
          <w:b/>
        </w:rPr>
        <w:t xml:space="preserve">Quelle: </w:t>
      </w:r>
      <w:r>
        <w:t>https://mcp.opencaselaw.ch/entscheid/ge_gerichte_ATAS_47_2019</w:t>
      </w:r>
    </w:p>
    <w:p>
      <w:r>
        <w:t>FR: GE_GERICHTE ATAS/47/2019 du 21 janvier 2019</w:t>
      </w:r>
    </w:p>
    <w:p>
      <w:r>
        <w:t>IT: GE_GERICHTE ATAS/47/2019 del 21 gennaio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- 16/32-</w:t>
      </w:r>
    </w:p>
    <w:p>
      <w:r>
        <w:t>A/3685/2017</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du recourant à une rente d'invalidité, singulièrement sur l'évaluation de sa capacité de travail.</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w:t>
      </w:r>
    </w:p>
    <w:p>
      <w:r>
        <w:t>- 17/32-</w:t>
      </w:r>
    </w:p>
    <w:p>
      <w:r>
        <w:t>A/3685/2017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7</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w:t>
      </w:r>
    </w:p>
    <w:p>
      <w:r>
        <w:t>- 18/32-</w:t>
      </w:r>
    </w:p>
    <w:p>
      <w:r>
        <w:t>A/3685/2017 composante psychique aux douleurs qui revêtirait une importance déterminante au regard de la limitation de la capacité de travail.</w:t>
      </w:r>
    </w:p>
    <w:p>
      <w:r>
        <w:rPr>
          <w:b/>
        </w:rPr>
        <w:t>E. 8</w:t>
      </w:r>
    </w:p>
    <w:p>
      <w:r>
        <w:t>La jurisprudence développée au sujet des troubles somatoformes douloureux s'applique dorénavant à toutes les maladies psychiques (ATF 143 V 409 ; 143 V 418).</w:t>
      </w:r>
    </w:p>
    <w:p>
      <w:r>
        <w:rPr>
          <w:b/>
        </w:rPr>
        <w:t>E. 9</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w:t>
      </w:r>
    </w:p>
    <w:p>
      <w:r>
        <w:rPr>
          <w:b/>
        </w:rPr>
        <w:t>E. 10</w:t>
      </w:r>
    </w:p>
    <w:p>
      <w:r>
        <w:t>Dans un arrêt récent (ATF 141 V 281), le Tribunal fédéral a abandonné la présomption qui prévalait jusqu’à ce jour, selon laquelle les syndromes du type</w:t>
      </w:r>
    </w:p>
    <w:p>
      <w:r>
        <w:t>- 19/32-</w:t>
      </w:r>
    </w:p>
    <w:p>
      <w:r>
        <w:t>A/3685/2017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w:t>
      </w:r>
    </w:p>
    <w:p>
      <w:r>
        <w:t>- 20/32-</w:t>
      </w:r>
    </w:p>
    <w:p>
      <w:r>
        <w:t>A/3685/2017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w:t>
      </w:r>
    </w:p>
    <w:p>
      <w:r>
        <w:t>- 21/32-</w:t>
      </w:r>
    </w:p>
    <w:p>
      <w:r>
        <w:t>A/3685/2017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11</w:t>
      </w:r>
    </w:p>
    <w:p>
      <w:r>
        <w:t>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w:t>
      </w:r>
    </w:p>
    <w:p>
      <w:r>
        <w:t>- 22/32-</w:t>
      </w:r>
    </w:p>
    <w:p>
      <w:r>
        <w:t>A/3685/2017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Dès lors qu'en l'absence de résultats sur le plan somatique, le seul diagnostic de troubles somatoformes douloureux ne suffit pas pour justifier un droit à des prestations d'assurances sociales,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w:t>
      </w:r>
    </w:p>
    <w:p>
      <w:r>
        <w:t>- 23/32-</w:t>
      </w:r>
    </w:p>
    <w:p>
      <w:r>
        <w:t>A/3685/2017 de la libre appréciation dont ils disposent, l'administration et le juge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I.648/03 du 18 septembre 2004 consid. 5.1.3 et 5.1.4).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Dans une procédure portant sur l'octroi ou le refus de prestations d'assurances sociales, lorsqu'une décision administrative s'appuie exclusivement sur</w:t>
      </w:r>
    </w:p>
    <w:p>
      <w:r>
        <w:t>- 24/32-</w:t>
      </w:r>
    </w:p>
    <w:p>
      <w:r>
        <w:t>A/3685/2017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Les constatations médicales peuvent être complétées par des renseignements d’ordre professionnel, par exemple au terme d'un stage dans un centre d'observation professionnel de l'assurance-invalidité, en vue d'établir concrètement dans quelle</w:t>
      </w:r>
    </w:p>
    <w:p>
      <w:r>
        <w:t>- 25/32-</w:t>
      </w:r>
    </w:p>
    <w:p>
      <w:r>
        <w:t>A/3685/2017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arrêt du Tribunal fédéral 9C_833/2007 du 4 juillet 2008, in Plädoyer 2009/1 p. 70; arrêt du Tribunal fédéral des assurances I 35/03 du 24 octobre 2003 consid. 4.3 et les références, in Plädoyer 2004/3 p. 64; arrêt du Tribunal fédéral 9C_512/2013 du 16 janvier 2014 consid. 5.2.1).</w:t>
      </w:r>
    </w:p>
    <w:p>
      <w:r>
        <w:rPr>
          <w:b/>
        </w:rPr>
        <w:t>E. 12</w:t>
      </w:r>
    </w:p>
    <w:p>
      <w:r>
        <w:t>Conformément au principe inquisitoire qui régit la procédure dans le domaine des assurances sociales, le juge des assurances sociales doit procéder à des</w:t>
      </w:r>
    </w:p>
    <w:p>
      <w:r>
        <w:t>- 26/32-</w:t>
      </w:r>
    </w:p>
    <w:p>
      <w:r>
        <w:t>A/3685/2017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w:t>
      </w:r>
    </w:p>
    <w:p>
      <w:r>
        <w:rPr>
          <w:b/>
        </w:rPr>
        <w:t>E. 13</w:t>
      </w:r>
    </w:p>
    <w:p>
      <w:r>
        <w:t>a. En l’occurrence, dans son ordonnance du 26 juin 2018, la chambre de céans a considéré que le recourant contestait principalement le volet psychiatrique de l’expertise du 30 août 2016 réalisée par la PMU, même s’il relevait que les experts en chirurgie de la main et en rhumatologie avaient sous-estimé l’atteinte à sa santé psychique.</w:t>
      </w:r>
    </w:p>
    <w:p>
      <w:r>
        <w:t>- 27/32-</w:t>
      </w:r>
    </w:p>
    <w:p>
      <w:r>
        <w:t>A/3685/2017 b. Du point de vue somatique, les experts avaient retenu les diagnostics de cervico- lombosciatalgies gauches chroniques non spécifiques et oligo-arthralgies chroniques non spécifiques et une absence de séquelles fonctionnelles des différentes chirurgies de la main ; des limitations fonctionnelles avaient été retenues (pas d’utilisation de gants compressifs, d’exposition à des vibrations corporelles et au froid, pas de mouvements avec forte préhension des mains et mouvements répétitifs de flexion-extension des doigts de la main, pas d’activité physiquement lourde avec port de charge répétitif de plus de 15 kg). La capacité de travail avait été considérée comme entière dans une activité adaptée. Le volet somatique de l’expertise de la PMU, fondé sur une anamnèse complète, comprenant les plaintes du recourant, des diagnostics et les limitations fonctionnelles claires ainsi qu’une appréciation motivée de la capacité de travail du recourant, avait pleine valeur probante. L’appréciation des Drs T_____ et U_____ du 13 juin 2016 attestant de diagnostics de polyarthrose et fibromyalgie, lombalgie, diabète de type 2 insulino- requérant, hypertension artérielle, syndrome d’hypopnées obstructives du sommeil appareillé, trouble dépressif, ne remettait pas en cause les conclusions du rapport de la PMU. Il en était de même des rapports des HUG des 22 octobre, 27 octobre et 30 novembre 2015, lesquels attestaient d’un suivi pour un diagnostic de diabète type 2, polyneuropathie périphérique, hypertension artérielle, dyslipidémie, syndrome d’apnées du sommeil et cervico-brachialgies. En particulier, aucun avis médical au dossier ne mettait en doute l’évaluation somatique de la capacité de travail du recourant effectuée par la PMU. Dans ces conditions, les conclusions du volet somatique du rapport d’expertise de la PMU ne pouvaient qu’être suivies, une expertise judiciaire ne se justifiant pas. Ces considérations peuvent être confirmées. c. S’agissant de l’expertise judiciaire psychiatrique, dans la mesure où elle est fondée sur trois entretiens avec le recourant, complétés par un entretien téléphonique avec le psychiatre traitant de celui-ci et l’entier du dossier, qu’elle comprend une anamnèse, les plaintes du recourant, des diagnostics clairs et motivés, une appréciation du cas cohérente et des explications quant aux divergences de diagnostic et d’appréciation de la capacité de travail du recourant par rapport aux autres avis médicaux au dossier, elle répond aux réquisits jurisprudentiels précités pour qu’il lui soit reconnu une pleine valeur probante. Les critiques émises par le SMR, et reprises par l’intimé, ne sont pas à même de mettre en doute la valeur probante de l’expertise judiciaire. c/aa Tout d’abord, le SMR estime que l’anamnèse effectuée par le Dr O______ est plus complète que celle de l’expertise judiciaire. A cet égard, le SMR ne prétend pas que celle de l’expertise judiciaire serait insuffisante dans une mesure telle qu’elle ôterait toute valeur probante à ses conclusions. Cela à juste titre, étant donné</w:t>
      </w:r>
    </w:p>
    <w:p>
      <w:r>
        <w:t>- 28/32-</w:t>
      </w:r>
    </w:p>
    <w:p>
      <w:r>
        <w:t>A/3685/2017 que l’expertise judiciaire comprend une anamnèse personnelle, familiale, professionnelle et même judiciaire (laquelle est absente de l’expertise de la PMU du 30 août 2016). Par ailleurs, le Dr O______ s’est contenté d’un complément d’anamnèse personnelle, en réalité plus bref que l’anamnèse de l’expertise judiciaire (expertise PMU p. 15) et n’a pas non plus décrit de journée type, le descriptif de la vie quotidienne ayant été effectué sous l’angle somatique (expertise PMU p. 9). c/bb Ensuite, le reproche d’absence de dosage des traitements prescrits n’est pas relevant, les experts ayant, en toute hypothèse, indiqué que même une modification du traitement médicamenteux telle que proposée (expertise judiciaire p. 18), n’aurait pas un impact déterminant sur la capacité de travail du recourant, laquelle était diminuée par le trouble de la personnalité paranoïaque. Or, le traitement médicamenteux, instauré depuis 2013, avait permis une rémission partielle des symptômes dépressifs mais pas du trouble de la personnalité paranoïaque (expertise judiciaire p. 16). Par ailleurs, les experts ont estimé, après avoir pris contact avec le psychiatre traitant, que le traitement psychotrope et le suivi psychiatrique étaient correctement investis par le recourant (expertise judiciaire p. 16). Enfin, le dosage d’antidépresseurs et d’antipsychotiques effectué par les experts de la PMU le 10 mai 2016 n’a pas pu être interprété (expertise PMU p. 12) et n’a d’ailleurs pas fait l’objet de commentaire de la part du Dr O______ (expertise PMU p. 23). c/cc Le SMR estime encore que la divergence diagnostique entre les expertises n’est pas expliquée par les experts judiciaires. Or, ceux-ci se sont prononcés sur les conclusions de l’expertise de la PMU du 30 août 2016 et ont indiqué que, contrairement à l’évaluation du Dr O______, ils estimaient que les critères pour un état dépressif léger (et non pas seulement une dysthymie) étaient présents et que le fonctionnement du recourant dans les relations interpersonnelles ainsi que sa conception du monde qui l’entourait avait un impact majeur sur sa vie sociale, affective et professionnelle. Dans ce sens, ils ont retenu un trouble de la personnalité paranoïaque plutôt que de simples traits. Le trouble était invalidant et l’on ne pouvait pas soutenir un retour au plein emploi. Par ailleurs, les experts judiciaires ont clairement exclu la présence d’une majoration des symptômes psychiques chez le recourant. Ils ont relevé que, mis à part l’authenticité de ses plaintes, l’hétéro-anamnèse montrait que la perturbation de l’organisation de sa personnalité existait bien avant la décompensation bruyante. L’objectif de ses demandes AI était celui d’une réparation morale et financière par rapport aux torts qu’il supposait avoir subi. Dans ce sens, l’objectif recherché pouvait sembler similaire à celui manifesté lors d’une majoration des symptômes psychiques. Toutefois et contrairement à ce dernier cas de figure, la revendication de réparation était diffuse, concernait la plupart des aspects de sa vie et constituait une manière</w:t>
      </w:r>
    </w:p>
    <w:p>
      <w:r>
        <w:t>- 29/32-</w:t>
      </w:r>
    </w:p>
    <w:p>
      <w:r>
        <w:t>A/3685/2017 diachronique d’interagir avec un environnement perçu comme hostile (expertise judiciaire p. 14). Le recourant était authentique dans l’expression de sa colère, de sa méfiance et de son sentiment d’humiliation (expertise judiciaire p. 13). Ils ont ainsi considéré que c’était le trouble de la personnalité paranoïaque qui avait des répercussions fonctionnelles majeures dans un milieu économique usuel (expertise judiciaire p. 14). La chambre de céans constate que l’appréciation des experts judiciaires s’écarte de façon motivée de celle du Dr O______, celui-ci ayant prioritairement considéré qu’il existait des incohérences cliniques marquées chez le recourant et une majoration des symptômes, ce que les experts judiciaires ont exclu. On constate encore que le Dr O______ a relevé, d’une part, la présence de dérapages vers une appréhension persécutante du monde environnant (expertise PMU p. 17 et 18), des traits de personnalité caractériels et paranoïaque (expertise PMU p. 18), soit des symptômes repris par les experts judiciaires dans le cadre du trouble de la personnalité paranoïaque, d’autre part, que l’échelle de dépression MADRS (test effectué par le Dr O______) a conclu à un score compatible avec une dysthymie ou un épisode dépressif léger (tel que diagnostiqué par les experts judiciaires). Le Dr O______ écarte cependant ce dernier diagnostic en raison de la présence de ce qu’il estime être des facteurs de majoration (expertise PMU p. 17-18). Les constatations faites par le Dr O______ rejoignent ainsi celles des experts judiciaires mais ont été interprétées en partant du principe que le recourant majorait ses plaintes, ce que les experts judiciaires ont clairement écartés. La divergence de diagnostics et d’impact de ceux-ci sur la capacité de travail du recourant existant entre les deux expertises est ainsi motivée de façon convaincante par les experts judiciaires. c/dd Le SMR relève encore qu’un état dépressif léger ne peut décompenser le trouble de la personnalité. A cet égard, les experts judiciaires ont relevé que l’état dépressif, présent depuis 2010, s’était aggravé jusqu’en 2013, de sorte que, dès cette date, l’état dépressif majeur était sévère et, avec le trouble de la personnalité paranoïaque, qui s’était aussi manifesté après 2010, il influençait négativement la capacité de travail, celle-ci étant nulle, dans toute activité, jusqu’à fin 2014. Dès 2015, seul le trouble de la personnalité paranoïaque diminuait la capacité de travail de 50 % dans une activité adaptée (soit un travail avec peu de collaboration avec d’autres employés), en raison de la nécessité d’éviter une exposition relationnelle trop importante (sensibilité aux interactions humaines et tendance à conflictualiser les liens) et une faible tolérance au stress (expertise judiciaire p. 12). L’état dépressif léger n’a ainsi, selon les experts judiciaires, pas d’influence sur la capacité de travail du recourant dans une activité adaptée. Le trouble de la personnalité, contrairement à l’avis du SMR, n’est, selon les experts judiciaires, pas décompensé par un état dépressif léger mais présent après l’année 2010, durant laquelle le</w:t>
      </w:r>
    </w:p>
    <w:p>
      <w:r>
        <w:t>- 30/32-</w:t>
      </w:r>
    </w:p>
    <w:p>
      <w:r>
        <w:t>A/3685/2017 recourant a été confronté à la perte de son épouse et à sa désinsertion sociale (expertise judiciaire p. 13). L’influence de l’épisode dépressif léger (soit les symptômes d’une anhédonie, d’irritabilité et d’attitude morose) n’est évoquée qu’en relation avec une activité en milieu usuel mais pas dans le cadre d’une activité adaptée (expertise judiciaire p. 12). c/ee Toujours selon le SMR, les experts ont relevé que la plupart des aspects du trouble de la personnalité paranoïaque était peu marquée chez le recourant, de sorte que ce trouble ne pouvait être retenu et que des facteurs extra-médicaux jouaient un rôle principal. A cet égard, les experts judiciaires ont expliqué que l’aspect quérulent de la personnalité paranoïaque était peu prononcé, mais que le recourant présentait davantage un aspect sensitif se manifestant par un vécu de victimisation, avec des affects dépressifs et une hyperesthésie affective, un sentiment d’être laissé pour compte, humilié et non considéré ; sa psychopathologie était proche d’une personnalité sensitive (expertise judiciaire p. 12). Les experts ont ainsi motivé de façon convaincante la présence du trouble de la personnalité paranoïaque. De surcroit, ils ont relaté des répercussions fonctionnelles majeures de ce trouble, tant dans une activité professionnelle que dans toute activité sociale (expertise judiciaire p. 14 et 16). Les facteurs extra-médicaux mis en avant par le Dr O______ (difficultés conjugales, statut instable) n’ont pas été considéré comme des facteurs déterminants par les experts judiciaires, ceux-ci ayant écarté toute majoration des symptômes pour retenir un diagnostic psychiatrique incapacitant, contrairement au Dr O______. c/ff Enfin, les liens avancés par le SMR entre les experts judiciaires et la Dre V_____ ne sont pas un élément suffisant pour estimer que ceux-ci n’ont pas été à même d’opérer une appréciation objective de la situation médicale du recourant. Cela est d’autant plus vrai que l’expertise judiciaire s’écarte des diagnostics de trouble de la personnalité mixte avec des traits émotionnellement labiles et des traits de la personnalité paranoïaque posés par la Dre V_____ (expertise judiciaire p. 20). Par ailleurs, si l’intimé souhaitait demander la récusation des experts judiciaires, il lui incombait de le faire dans le délai fixé à cet égard au 8 juin 2018 aux parties par la chambre de céans, le grief soulevé par l’intimé lui étant déjà connu à cette date (art. 39 LPA ; ATF 134 I 20).</w:t>
      </w:r>
    </w:p>
    <w:p>
      <w:r>
        <w:rPr>
          <w:b/>
        </w:rPr>
        <w:t>E. 14</w:t>
      </w:r>
    </w:p>
    <w:p>
      <w:r>
        <w:t>Au vu de ce qui précède, les conclusions de l’expertise judiciaire peuvent être suivies, de sorte que le recourant a présenté, du point de vue psychiatrique, une capacité de travail nulle dans toute activité du 1er janvier 2013 au 31 décembre 2014 et de 50 % dans une activité adaptée à ses limitations fonctionnelles dès le 1er janvier 2015. L’activité adaptée doit également respecter les limitations fonctionnelles somatiques déjà admises par l’intimé (pas d’exposition aux vibrations corporelles, par de port de gants compressifs, pas d’exposition au froid,</w:t>
      </w:r>
    </w:p>
    <w:p>
      <w:r>
        <w:t>- 31/32-</w:t>
      </w:r>
    </w:p>
    <w:p>
      <w:r>
        <w:t>A/3685/2017 pas de mouvement exigeant une forte force de préhension des mains, pas de mouvements répétitifs de flexion extension des doigts, pas de port de charges de plus de 15 kg ; pas de conduite professionnelle ni de conduite de véhicules à moteurs, pas de travail en hauteur, horaires et repas régulier, sans travail de nuit). Finalement la capacité de travail du recourant, compte tenu des limitations fonctionnelles psychiques et somatiques est nulle dans toute activité du 30 mars 2008 au 31 octobre 2012 et du 1er janvier 2013 au 31 décembre 2014, puis de 50 % dans une activité adaptée dès le 1er janvier 2015.</w:t>
      </w:r>
    </w:p>
    <w:p>
      <w:r>
        <w:rPr>
          <w:b/>
        </w:rPr>
        <w:t>E. 15</w:t>
      </w:r>
    </w:p>
    <w:p>
      <w:r>
        <w:t>S’agissant du calcul du degré d’invalidité du recourant, il convient de reprendre les critères appliqués par l’intimé et non contestés par le recourant (selon la décision de l’intimé du 31 juillet 2017), soit un statut d’actif, un revenu sans invalidité et avec invalidité issus tous deux de la même tabelle des salaires statistiques ESS, un abattement de 10 % appliqué sur le revenu d’invalide et une demande de prestations déposée le 17 février 2014. Compte tenu de ces éléments, le degré d’invalidité du recourant est de 100 % du 1er mars 2009 au 30 mars 2014 et de 55 % dès le 1er avril 2014 (revenu avec invalidité correspondant à 50 % du revenu sans invalidité, avec une déduction supplémentaire de 10 %). La demande de prestations ayant été déposée le 17 février 2014, le droit à des prestations n’est ouvert que dès le 1er août 2014 (art. 29 al. 1 LAI). En conséquence, le recourant a droit, dès le 1er août 2014, à une demi-rente d’invalidité (art. 28 al. 2 LAI).</w:t>
      </w:r>
    </w:p>
    <w:p>
      <w:r>
        <w:rPr>
          <w:b/>
        </w:rPr>
        <w:t>E. 16</w:t>
      </w:r>
    </w:p>
    <w:p>
      <w:r>
        <w:t>Le recourant n’étant pas représenté, il n’a pas droit à des dépens. Etant donné que, depuis le 1er juillet 2006, la procédure n'est plus gratuite (art. 69 al. 1bis LAI), au vu du sort du recours, il y a lieu de condamner l'intimé au paiement d'un émolument de CHF 500.-. ***</w:t>
      </w:r>
    </w:p>
    <w:p>
      <w:r>
        <w:t>- 32/32-</w:t>
      </w:r>
    </w:p>
    <w:p>
      <w:r>
        <w:t>A/3685/2017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