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ATAS/479/2022 vom 27. Mai 2022</w:t>
      </w:r>
    </w:p>
    <w:p>
      <w:r>
        <w:t>GE Cour de justice, 2022-05-27, FR</w:t>
      </w:r>
    </w:p>
    <w:p>
      <w:r>
        <w:rPr>
          <w:b/>
        </w:rPr>
        <w:t xml:space="preserve">Quelle: </w:t>
      </w:r>
      <w:r>
        <w:t>https://mcp.opencaselaw.ch/entscheid/ge_gerichte_ATAS_479_2022</w:t>
      </w:r>
    </w:p>
    <w:p>
      <w:r>
        <w:t>FR: GE_GERICHTE ATAS/479/2022 du 27 mai 2022</w:t>
      </w:r>
    </w:p>
    <w:p>
      <w:r>
        <w:t>IT: GE_GERICHTE ATAS/479/2022 del 27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Interjeté dans la forme et le délai prévus par la loi, le recours est recevable.</w:t>
      </w:r>
    </w:p>
    <w:p>
      <w:r>
        <w:rPr>
          <w:b/>
        </w:rPr>
        <w:t>E. 4.3</w:t>
      </w:r>
    </w:p>
    <w:p>
      <w:r>
        <w:t>et la référence ; arrêt du Tribunal fédéral 9C_724/2018 du 11 juillet 2019 con- sid. 7). En l’absence d’un diagnostic psychiatrique, une telle appréciation n’a pas non plus à être effectuée (arrêt du Tribunal fédéral 9C_176/2018 du 16 août 2018 consid. 3.2.2).</w:t>
      </w:r>
    </w:p>
    <w:p>
      <w:r>
        <w:t>A/925/2019 - 10/22 -</w:t>
      </w:r>
    </w:p>
    <w:p>
      <w:r>
        <w:rPr>
          <w:b/>
        </w:rPr>
        <w:t>E. 5</w:t>
      </w:r>
    </w:p>
    <w:p>
      <w:r>
        <w:t>La question litigieuse est celle de la capacité de travail de la recourante et de son droit à une rente d'invalidité.</w:t>
      </w:r>
    </w:p>
    <w:p>
      <w:r>
        <w:rPr>
          <w:b/>
        </w:rPr>
        <w:t>E. 5.1</w:t>
      </w:r>
    </w:p>
    <w:p>
      <w:r>
        <w:t>et 5.2).</w:t>
      </w:r>
    </w:p>
    <w:p>
      <w:r>
        <w:rPr>
          <w:b/>
        </w:rPr>
        <w:t>E. 6</w:t>
      </w:r>
    </w:p>
    <w:p>
      <w:r>
        <w:t>A/925/2019 - 8/22 -</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6.2.2</w:t>
      </w:r>
    </w:p>
    <w:p>
      <w:r>
        <w:t>et les références).</w:t>
      </w:r>
    </w:p>
    <w:p>
      <w:r>
        <w:rPr>
          <w:b/>
        </w:rPr>
        <w:t>E. 6.3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w:t>
      </w:r>
    </w:p>
    <w:p>
      <w:r>
        <w:t>A/925/2019 - 9/22 -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6.4</w:t>
      </w:r>
    </w:p>
    <w:p>
      <w:r>
        <w:t>L'organe chargé de l'application du droit doit, avant de procéder à l'examen des indicateurs, analyser si les troubles psychiques dûment diagnostiqués conduisent à la constatation d'une atteinte à la santé importante et pertinente en droit de l'assu- rance-invalidité, c'est-à-dire qui résiste aux motifs dits d'exclusion tels qu'une exa- gération ou d'autres manifestations d'un profit secondaire tiré de la maladie (cf. ATF 141 V 281 consid. 2.2 ; arrêt du Tribunal fédéral 9C_756/2018 du 17 avril 2019 consid. 5.2.2 et la référence).</w:t>
      </w:r>
    </w:p>
    <w:p>
      <w:r>
        <w:rPr>
          <w:b/>
        </w:rPr>
        <w:t>E. 6.5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6.6</w:t>
      </w:r>
    </w:p>
    <w:p>
      <w:r>
        <w:t>Compte tenu du fait que la chambre de céans fait siennes (voir infra) les conclusions de l’expert psychiatrique selon lesquelles la recourante a une pleine capacité de travail sur le plan psychique, la question des indicateurs ne sera pas développée.</w:t>
      </w:r>
    </w:p>
    <w:p>
      <w:r>
        <w:rPr>
          <w:b/>
        </w:rPr>
        <w:t>E. 7</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w:t>
      </w:r>
    </w:p>
    <w:p>
      <w:r>
        <w:t>A/925/2019 - 11/22 -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8.3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A/925/2019 - 12/22 -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A/925/2019 - 13/22 -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10.1</w:t>
      </w:r>
    </w:p>
    <w:p>
      <w:r>
        <w:t>En vertu de l’art. 28 al. 2 LAI, l’assuré a droit à une rente entière s’il est inva- lide à 70 % au moins, à un trois-quarts de rente s'il est invalide à 60 % au moins, à une demi-rente s’il est invalide à 50 % au moins, ou à un quart de rente s’il est in- valide à 40 %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10.2</w:t>
      </w:r>
    </w:p>
    <w:p>
      <w:r>
        <w:t>Tant lors de l'examen initial du droit à la rente qu'à l'occasion d'une révision de celle-ci (art. 17 LPGA), il faut examiner sous l'angle des art. 4 et 5 LAI quelle</w:t>
      </w:r>
    </w:p>
    <w:p>
      <w:r>
        <w:t>A/925/2019 - 14/22 -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10.3</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w:t>
      </w:r>
    </w:p>
    <w:p>
      <w:r>
        <w:t>A/925/2019 - 15/22 -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10.4</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w:t>
      </w:r>
    </w:p>
    <w:p>
      <w:r>
        <w:t>A/925/2019 - 16/22 - références ; arrêt du Tribunal fédéral 9C_191/2021 du 25 novembre 2021 consid.</w:t>
      </w:r>
    </w:p>
    <w:p>
      <w:r>
        <w:rPr>
          <w:b/>
        </w:rPr>
        <w:t>E. 10.5</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w:t>
      </w:r>
    </w:p>
    <w:p>
      <w:r>
        <w:rPr>
          <w:b/>
        </w:rPr>
        <w:t>E. 10.6</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w:t>
      </w:r>
    </w:p>
    <w:p>
      <w:r>
        <w:t>A/925/2019 - 17/22 - exécuter en remplacement la fonction partielle correspondante (ATF 133 V 504 consid. 4.2 ; arrêt du Tribunal fédéral 9C_785/2014). 11.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12. 12.1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13. En l’espèce, dans un premier grief, la recourante invoque, certificat médical de son médecin traitant à l’appui, une aggravation de son état de santé ayant entraîné une diminution de la capacité de travail, qui serait passée, selon elle, de 50 % à 0 % dans une activité adaptée. L’intimé met en doute les conclusions de l’expert rhumatologique, citant des incohérences au niveau de l’examen clinique et le fait que la recourante ne répondait pas clairement aux questions, ce qui, selon l'intimé, a pour conséquence que les conclusions de l’expert rhumatologue ne peuvent pas être suivies.</w:t>
      </w:r>
    </w:p>
    <w:p>
      <w:r>
        <w:t>A/925/2019 - 18/22 - 13.1 L’expertise du Dr I______, rhumatologue, remplit, sur le plan formel, plusieurs exigences auxquelles la jurisprudence soumet la valeur probante d’un tel document. En effet, elle contient une anamnèse détaillée, le résumé des pièces principales du dossier, les indications subjectives et les plaintes de la recourante, des observations cliniques, ainsi qu'une discussion générale du cas. Il convient tout d’abord de rappeler que la chambre de céans ne peut s’éloigner des conclusions d’une expertise judiciaire que pour des motifs impératifs, notamment la présence de contradictions. Or, on n’observe pas de contradictions dans le rapport d’expertise du Dr I______ ; ce dernier a clairement indiqué les difficultés provenant du fait que la recourante ne répondait pas toujours clairement aux questions qui lui étaient posées et qu’elle retenait ses mouvements pendant l’examen clinique. En dépit de ces difficultés, qui sont mentionnées dans l’expertise et qui ne peuvent donc pas être considérées comme des contradictions, l’expert s’est fondé sur un certain nombre d’éléments objectivés, notamment au niveau du status clinique, pour estimer la capacité de travail de la recourante et ses limitations fonctionnelles. On ne saurait suivre l’intimé qui remet en question les conclusions de l’expert sans aucune base solide, les incohérences qu’il cite n’étant pas de la responsabilité de l’expert et ne mettant aucunement en cause la valeur probante de son rapport. L’expertise rhumatologique rejoint, par ailleurs, les conclusions des médecins traitants de la recourante concernant sa capacité de travail. 13.2 Il est vrai que le Dr I______ mentionne qu’il pourrait être envisageable que la recourante puisse travailler à un taux de 13 % à 25 % après l’ablation de deux vis, dès le 1er août 2016. Toutefois, il se montre beaucoup plus prudent au niveau de ses conclusions (expertise Dr I______ p. 20) indiquant que « l’opération du 14 avril 2016 (ablation de deux vis) n’a pas permis d’améliorer la situation clinique. En résumé, la capacité de travail dans une profession adaptée a toujours été nulle depuis 2014 ». Dès lors, la chambre de céans considère qu’il est établi, au degré de la vraisemblance prépondérante, que la capacité de travail de la recourante, aussi bien dans son activité antérieure que dans une activité adaptée, doit être considérée comme nulle, depuis la date de l’accident du 20 août 2014, compte tenu des importantes limitations fonctionnelles observées et de l’âge de la recourante, née en 1962. Cela étant, une éventuelle révision pourrait être envisagée après qu’une prothèse entière de la hanche ait été posée, comme le suggère l’expert. 14. Dans un second grief, le mandataire de la recourante ne remet pas en question l’application de la méthode mixte fondée sur une répartition des activités de 50 % pour les activités professionnelles et 50 % pour les travaux habituels du ménage. En revanche, il conteste le résultat de l’enquête économique du ménage et notamment le taux d’exigibilité de 18.2 % retenu pour les membres de la famille, estimant ce chiffre trop élevé en raison du fait que, d’une part, l’époux de la recourante souffre</w:t>
      </w:r>
    </w:p>
    <w:p>
      <w:r>
        <w:t>A/925/2019 - 19/22 - également de troubles de la santé, perçoit une rente entière d’invalidité et peut difficilement aider la recourante dans les tâches ménagères et que, d’autre part, les deux filles de la recourante, âgées respectivement de 28 et 30 ans, ne sont que rarement présentes au domicile de leurs parents. 14.1 Le contrat individuel de travail du 23 février 2007, passé avec l’entreprise Indigo Services, mentionne que la recourante était employée en qualité de nettoyeuse, jusqu’à 22 heures par semaine. Cet élément permet de confirmer la répartition retenue par l’intimé, soit 50 % pour l’activité professionnelle et 50 % pour les tâches ménagères et l’application de la méthode mixte pour le calcul du taux d’invalidité. 14.2 S’agissant de l’enquête ménagère, le taux d’exigibilité de 18.2 % est contesté par le mandataire de la recourante en ce qui concerne la participation de l’époux de cette dernière. Il sied de préciser que, selon les déclarations de la recourante lors de l’enquête ménagère (ch. 2.3), l’époux est indépendant et a une entreprise de peinture/tapisserie, tout en s’occupant de la conciergerie d’un petit immeuble de 4-5 appartements, attenant au domicile du couple. Il paraît, dès lors, peu crédible que l’époux de la recourante ne soit pas en mesure de l’aider dans ses tâches ménagères, pour des raisons de santé, alors même qu’il serait capable de s’occuper de tâches de conciergerie. S’agissant des filles de la recourante, soit J______, née en 1991, et K______, née en 1989, il est mentionné qu’elles vivent en ménage commun avec la recourante, mais prennent leurs repas à l’extérieur. J______ est sans emploi et K______ suit une formation dans le domaine ______. Rien ne vient corroborer les allégations du mandataire de la recourante selon lesquelles les deux filles seraient « rarement » au domicile de leurs parents, ce qui ne ressort aucunement du dossier. On peut donc confirmer qu’il peut être exigé des deux filles qu’elles aident la recourante dans ses tâches ménagères. Le rapport d’enquête ménagère est très complet et détaillé. Il est mentionné systématiquement que les informations proviennent de la recourante (formulation : « selon ses dires »). L’infirmière enquêtrice précise que les filles participent aux tâches ménagères, notamment la lessive, la préparation des repas et l’entretien du logement, étant précisé que, selon les dires de la recourante, elles participaient déjà activement aux tâches ménagères avant l’atteinte à la santé. L’époux s’occupe des courses importantes, avec son fils et participe à la confection des repas. L’enquêtrice considère que la recourante peut effectuer un certain nombre de tâches, « à son rythme » et en alternant les positions, notamment préparer les repas (en se faisant aider pour les ustensiles lourds) et en évitant de se baisser. 14.3 Au vu de ce qui précède, la chambre de céans considère que l’époux et les deux filles de la recourante aident cette dernière dans les tâches ménagères et que les conclusions du rapport d’enquête ménagère ne prêtent pas le flanc à la critique ; partant, le taux d’exigibilité retenu de 18.2 % pour les membres de la famille est</w:t>
      </w:r>
    </w:p>
    <w:p>
      <w:r>
        <w:t>A/925/2019 - 20/22 - correct, ce qui permet de confirmer l’empêchement pondéré avec exigibilité de 0 % dans les tâches ménagères.</w:t>
      </w:r>
    </w:p>
    <w:p>
      <w:r>
        <w:rPr>
          <w:b/>
        </w:rPr>
        <w:t>E. 15</w:t>
      </w:r>
    </w:p>
    <w:p>
      <w:r>
        <w:t>Cela fait, il convient de procéder au calcul du taux d’invalidité. Le statut retenu par l’OAI, non contesté par la recourante et ne prêtant pas le flanc à la critique selon l’appréciation de la chambre de céans, est de 50 % dans une activité professionnelle et de 50 % dans ses travaux habituels. Selon l’expertise, la capacité de travail de la recourante est nulle aussi bien dans son activité habituelle que dans une activité adaptée. Il en résulte une perte de gain de 100 %. Dans les travaux habituels, l’empêchement est de 0 %. En application des dispositions et de la jurisprudence antérieure au 1er janvier 2018, le calcul du taux d’invalidité est effectué comme suit : en appliquant la pondération de 50 % correspondant à la part d’activité, on parvient à un taux d’invalidité de 50 % (100 % x 0.5) dans l’activité professionnelle et de 0 % (0 % x 0.5) dans les travaux habituels qui, une fois additionnés, donnent un taux d’invalidité global de 50 %, ouvrant ainsi le droit à une demi-rente d'invalidité. Depuis l’entrée en vigueur, le 1er janvier 2018, du nouvel art. 27bis al. 2 à 4 RAI, le taux d’invalidité est désormais calculé en faisant une extrapolation du revenu comme si la recourante exerçait son activité à plein temps en lieu et place d’un temps partiel. Dans le cas d’espèce, le résultat est le même dès lors que le taux d’incapacité de travail est toujours de 100 % et qu’il en résulte une perte de gain, quelle que soit la méthode employée, de 100 %. Par conséquent, que ce soit avec l’ancienne méthode ou la nouvelle méthode de calcul, la perte de gain de 100 % dans l’activité lucrative et l’empêchement de 0 % dans les travaux habituels aboutissent au même taux d’invalidité de 50 % ouvrant le droit à une demi-rente. S’agissant de l’ouverture du droit à des prestations, la chambre de céans s’est ralliée aux conclusions des experts selon lesquelles le début de l’incapacité de travail à 100 % doit être fixé au jour de l’accident soit au 20 août 2014. Ce nonobstant, la demande de prestations d'invalidité n’a été déposée qu’en date du 6 avril 2017, ce qui entraîne, en application de l’art. 29 al. 1 LAI (demande tardive) que le droit aux prestations ne s’ouvre qu’à l’issue d’un délai de six mois, soit dès le 1er octobre 2017, date à laquelle l’incapacité de gain est de 100 % dans l’activité lucrative.</w:t>
      </w:r>
    </w:p>
    <w:p>
      <w:r>
        <w:rPr>
          <w:b/>
        </w:rPr>
        <w:t>E. 16</w:t>
      </w:r>
    </w:p>
    <w:p>
      <w:r>
        <w:t>Compte tenu de ce qui précède, la décision du 4 février 2019 sera annulée et il sera dit que la recourante a droit à une demi-rente d’invalidité dès le 1er octobre 2017.</w:t>
      </w:r>
    </w:p>
    <w:p>
      <w:r>
        <w:rPr>
          <w:b/>
        </w:rPr>
        <w:t>E. 17</w:t>
      </w:r>
    </w:p>
    <w:p>
      <w:r>
        <w:t>La recourante, qui concluait à l’obtention d’une pleine rente d'invalidité, obtient partiellement gain de cause. Étant assistée d’un mandataire professionnellement</w:t>
      </w:r>
    </w:p>
    <w:p>
      <w:r>
        <w:t>A/925/2019 - 21/22 - qualifié, une indemnité de CHF 2'500.- lui sera accordée à titre de participation à ses frais et dépens (art. 61 let. g LPGA ; art. 6 du règlement sur les frais, émoluments et indemnités en matière administrative du 30 juillet 1986 [RFPA - E 5 10.03]).</w:t>
      </w:r>
    </w:p>
    <w:p>
      <w:r>
        <w:rPr>
          <w:b/>
        </w:rPr>
        <w:t>E. 18</w:t>
      </w:r>
    </w:p>
    <w:p>
      <w:r>
        <w:t>Étant donné que, depuis le 1er juillet 2006, la procédure n'est plus gratuite (art. 69 al. 1bis LAI), au vu du sort du recours, il y a lieu de condamner l'intimé au paiement d'un émolument de CHF 200.-.</w:t>
      </w:r>
    </w:p>
    <w:p>
      <w:r>
        <w:t>* * * * *</w:t>
      </w:r>
    </w:p>
    <w:p>
      <w:r>
        <w:t>A/925/2019 - 22/22 -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