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ATAS/479/2018 vom 6. Juni 2018</w:t>
      </w:r>
    </w:p>
    <w:p>
      <w:r>
        <w:t>GE Cour de justice, 2018-06-06, FR</w:t>
      </w:r>
    </w:p>
    <w:p>
      <w:r>
        <w:rPr>
          <w:b/>
        </w:rPr>
        <w:t xml:space="preserve">Quelle: </w:t>
      </w:r>
      <w:r>
        <w:t>https://mcp.opencaselaw.ch/entscheid/ge_gerichte_ATAS_479_2018</w:t>
      </w:r>
    </w:p>
    <w:p>
      <w:r>
        <w:t>FR: GE_GERICHTE ATAS/479/2018 du 6 juin 2018</w:t>
      </w:r>
    </w:p>
    <w:p>
      <w:r>
        <w:t>IT: GE_GERICHTE ATAS/479/2018 del 6 giugno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La modification du 25 septembre 2015 de la LAA est entrée en vigueur le 1er janvier 2017. Dans la mesure où l'accident en cause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la forme et le délai prévus par la loi, le recours est recevable (art. 56 ss LPGA et 62 ss LPA).</w:t>
      </w:r>
    </w:p>
    <w:p>
      <w:r>
        <w:t>A/576/2017 - 6/11 -</w:t>
      </w:r>
    </w:p>
    <w:p>
      <w:r>
        <w:rPr>
          <w:b/>
        </w:rPr>
        <w:t>E. 5</w:t>
      </w:r>
    </w:p>
    <w:p>
      <w:r>
        <w:t>Le litige porte sur le droit du recourant aux prestations de l'intimée et, plus particulièrement, sur la question de savoir si l'événement du 5 mai 2015 doit être qualifié d'accident ou être assimilé à un accident.</w:t>
      </w:r>
    </w:p>
    <w:p>
      <w:r>
        <w:rPr>
          <w:b/>
        </w:rPr>
        <w:t>E. 6</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8C_194/2015 du</w:t>
      </w:r>
    </w:p>
    <w:p>
      <w:r>
        <w:rPr>
          <w:b/>
        </w:rPr>
        <w:t>E. 11</w:t>
      </w:r>
    </w:p>
    <w:p>
      <w:r>
        <w:t>août 2015 consid. 3).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Selon la jurisprudence, le critère du facteur extraordinaire extérieur peut résulter d'un mouvement non coordonné. Lors d'un mouvement corporel,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(Frésard/Moser-Szeless, L'assurance-accidents obligatoire, in Soziale Sicherheit, SBVR vol. XIV, 2007, n. 74 p. 861 s.; arrêt du Tribunal fédéral 8C_194/2015 du 11 août 2015 consid. 3).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t>A/576/2017 - 7/11 - Dans un arrêt 8C_726/2009 du 30 avril 2010, le Tribunal fédéral avait à se prononcer sur l'existence d'un facteur extraordinaire dans le cas d'un infirmier qui s'était fait mal au niveau des cervicales en se retournant brusquement pour tenter de retenir une patiente, qui s'était levée de sa chaise roulante. Le Tribunal fédéral a considéré que si la condition du facteur extérieur était réalisée au travers du mouvement de torsion brusque effectué par l'infirmier, ce mouvement ne revêtait pas un caractère extraordinaire justifiant d'admettre la survenance d'un accident. La rotation effectuée dans la précipitation pour retenir une patiente n'était pas inhabituelle pour un infirmier et il n'apparaissait pas non plus que le mouvement non coordonné se soit déroulé de manière non programmée, en tant qu'un fait extérieur particulier serait venu interférer celui-ci (consid. 5). Dans un arrêt 8C_1019/2009 du 26 mai 2010 qui concernait une aide-soignante qui s'était blessée à l'épaule en rattrapant une caisse de livres qui lui avait glissé des mains, le Tribunal fédéral a considéré que le déroulement naturel du mouvement corporel n'avait pas été modifié par un phénomène non programmé et que rien n'indiquait non plus une sollicitation de l'organisme plus élevée que la normale. Le facteur extérieur n'était pas suffisamment inhabituel pour supprimer l'influence de l'élément endogène, in casu une instabilité chronique de l'épaule (consid. 5.1.2). En revanche, dans l'arrêt 8C_194/2015 du 11 août 2015, le Tribunal fédéral a admis un accident s'agissant d'un assuré qui avait subi une lésion à l'épaule droite en mettant en place un rouleau de moquette sur une étagère, lequel avait glissé et lui avait « tiré le bras ». Le cas d'espèce se distinguait des deux précités (8C_726/2009 et 8C_1019/2009), car le mouvement corporel de l'assuré avait été interrompu par un phénomène non programmé, à savoir la chute du rouleau de moquette. Ce phénomène avait provoqué chez l'assuré un mouvement brusque et incontrôlé au niveau du membre supérieur droit, d'une certaine intensité, compte tenu de sa soudaineté et surtout du poids – notoirement élevé – d'un rouleau de moquette. Il en était résulté une sollicitation du corps bien plus importante que la normale, que l'on ne pouvait considérer comme habituelle pour un poseur de sols. Enfin, même si l'assuré voulait éviter de devoir récupérer le rouleau de moquette par terre en raison de ses problèmes de dos, on ne pouvait pas en déduire qu'il avait eu le temps de contrôler son mouvement. Dans un arrêt 8C_36/2013 du 14 janvier 2014, le Tribunal fédéral a rappelé que si la jurisprudence prenait en considération les habitudes professionnelles d'une personne qui prétendait à des prestations d'assurance, elle le faisait avant tout dans le cadre des lésions dues à des efforts. Pour les mouvements du corps, l'existence d'un facteur extérieur extraordinaire devait être admise lorsqu'un phénomène extérieur modifiait de manière anormale le déroulement naturel d'un mouvement, ce qui avait pour effet d'entraîner un mouvement non coordonné (ATF 130 V 117 consid. 2.1 p. 118). En l'occurrence, la force générée par un marteau-piqueur en fonctionnement alors que la mèche de celui-ci s'était bloquée dans le mur avait provoqué chez l'assuré une torsion violente et forcée de son membre supérieur</w:t>
      </w:r>
    </w:p>
    <w:p>
      <w:r>
        <w:t>A/576/2017 - 8/11 - droit. On se trouvait donc en présence d'un mouvement non programmé et non maîtrisé qui avait présenté une certaine intensité. Dans ces circonstances, on pouvait retenir qu'il y avait eu une sollicitation de l'organisme plus élevée que la normale, ce qui permettait de conclure à l'existence d'un facteur extérieur extraordinaire à l'origine des douleurs à l'épaule droite annoncées par l'assuré. 7. L’art. 6 al. 2 LAA a conféré au Conseil fédéral la compétence d’étendre la prise en charge par l’assurance-accidents à des lésions assimilables à un accident. Aux termes de l'art. 9 al. 2 OLAA, dans sa teneur en force jusqu’au 31 décembre 2016,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déboîtements d'articulation (let. b), déchirures du ménisque (let. c), déchirures de muscles (let. d), élongations de muscles (let. e), déchirures de tendons (let. f), lésions de ligaments (let. g) et lésions du tympan (let. h).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139 V 327 consid. 3.3.1).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À eux seuls, les efforts exercés sur le squelette, les articulations, les muscles, les tendons et les ligaments ne constituent en effet pas une cause dommageable extérieure en tant qu'elle présuppose un risque de lésion non pas extraordinaire mais à tout le moins accru en regard d'une sollicitation normale de l'organisme (ATF 129 V 466 consid. 4.2.1. et 4.2.2; arrêt du Tribunal fédéral du 23 mai 2017 précité, consid. 4.2). Ainsi, celui qui ressent</w:t>
      </w:r>
    </w:p>
    <w:p>
      <w:r>
        <w:t>A/576/2017 - 9/11 -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t>A/576/2017 - 10/11 - 9. En l'espèce, le recourant a indiqué s'être blessé le 5 mai 2015 en se tournant pour poser une bordure d'environ 25 kg. Il a eu impression que son pied était resté bloqué et a émis l'hypothèse que c'était peut-être en raison d'un caillou ou du terrain inégal ou encore parce que son pied se serait enfoncé dans la terre. Ces suppositions ne permettent pas de retenir comme établi, au niveau de la vraisemblance prépondérante, que son mouvement corporel a été interrompu par un empêchement non programmé, lié à l'environnement extérieur. Le fardeau de la preuve incombant au recourant qui se prévaut d'un accident, il ne peut être retenu que son mouvement a été interrompu par un caillou ou de la terre. Même si on admettait que son pied a été bloqué par un caillou ou de la terre, ce facteur extérieur ne serait pas suffisamment inhabituel pour supprimer l'influence de l'élément endogène. Il est en effet usuel qu'il y ait des cailloux et des amas de terre sur un chantier. Le mouvement effectué par le recourant au moment de l'événement ne revêt, en outre, pas un caractère extraordinaire justifiant d'admettre la survenance d'un accident. À teneur de ses déclarations, il lui arrivait en effet, dans le cadre de son travail, de déplacer des choses lourdes et 25 kg n'étaient pas trop lourds pour lui. La rotation effectuée pour poser la bordure n'était pas inhabituelle dans son activité, puisqu'il avait fait le même mouvement à plusieurs reprises le jour de l'évènement. Le mouvement en cause ne revêt ainsi pas un caractère extraordinaire, quand bien même les bordures étaient, en général, déplacées par une machine et que les déplacer dépassait en force son activité habituelle, selon le recourant. Il résulte des considérations qui précèdent que l'événement du 5 mai 2015 ne peut être qualifié d'accident au sens des art. 6 LAA et 4 LPGA. Il ne peut pas non plus être qualifié de lésion assimilée à un accident, au sens de l'art. 9 al. 2 OLAA, dès lors que les lésions énumérées dans cette disposition ne peuvent être assimilées à un accident que si une cause extérieure a au moins déclenché les symptômes dont souffre l'assuré, ce qui n'est pas le cas en l'espèce, selon les considérations développées précédemment sous l'angle des art. 6 LAA et 4 LPGA. La question de savoir si la lésion subie par le recourant doit être qualifiée de fracture, au sens de l'art. 9 al. 2 let. a OLAA, peut donc rester ouverte. En conséquence, c'est à juste titre que l'intimée a refusé d'allouer ses prestations au recourant. 10. Au vu de ce qui précède, le recours est infondé et doit être rejeté. La procédure est gratuite (art. 61 let. a LPGA).</w:t>
      </w:r>
    </w:p>
    <w:p>
      <w:r>
        <w:t>A/576/2017 - 11/11 -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