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ATAS/479/2008 vom 31. Januar 2008</w:t>
      </w:r>
    </w:p>
    <w:p>
      <w:r>
        <w:t>GE Cour de justice, 2008-01-31, FR</w:t>
      </w:r>
    </w:p>
    <w:p>
      <w:r>
        <w:rPr>
          <w:b/>
        </w:rPr>
        <w:t xml:space="preserve">Quelle: </w:t>
      </w:r>
      <w:r>
        <w:t>https://mcp.opencaselaw.ch/entscheid/ge_gerichte_ATAS_479_2008</w:t>
      </w:r>
    </w:p>
    <w:p>
      <w:r>
        <w:t>FR: GE_GERICHTE ATAS/479/2008 du 31 janvier 2008</w:t>
      </w:r>
    </w:p>
    <w:p>
      <w:r>
        <w:t>IT: GE_GERICHTE ATAS/479/2008 del 31 gennaio 2008</w:t>
      </w:r>
    </w:p>
    <w:p>
      <w:pPr>
        <w:pStyle w:val="Heading2"/>
      </w:pPr>
      <w:r>
        <w:t>Erwägungen</w:t>
      </w:r>
    </w:p>
    <w:p>
      <w:r>
        <w:rPr>
          <w:b/>
        </w:rPr>
        <w:t>E. 1</w:t>
      </w:r>
    </w:p>
    <w:p>
      <w:r>
        <w:t>Prend acte de la décision rendue par l’intimé le 19 mars 2008, annulant la décision litigieuse.</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