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ATAS/479/2007 vom 16. Oktober 2006</w:t>
      </w:r>
    </w:p>
    <w:p>
      <w:r>
        <w:t>GE Cour de justice, 2006-10-16, FR</w:t>
      </w:r>
    </w:p>
    <w:p>
      <w:r>
        <w:rPr>
          <w:b/>
        </w:rPr>
        <w:t xml:space="preserve">Quelle: </w:t>
      </w:r>
      <w:r>
        <w:t>https://mcp.opencaselaw.ch/entscheid/ge_gerichte_ATAS_479_2007</w:t>
      </w:r>
    </w:p>
    <w:p>
      <w:r>
        <w:t>FR: GE_GERICHTE ATAS/479/2007 du 16 octobre 2006</w:t>
      </w:r>
    </w:p>
    <w:p>
      <w:r>
        <w:t>IT: GE_GERICHTE ATAS/479/2007 del 16 ottobre 2006</w:t>
      </w:r>
    </w:p>
    <w:p>
      <w:pPr>
        <w:pStyle w:val="Heading2"/>
      </w:pPr>
      <w:r>
        <w:t>Erwägungen</w:t>
      </w:r>
    </w:p>
    <w:p>
      <w:r>
        <w:rPr>
          <w:b/>
        </w:rPr>
        <w:t>E. 1</w:t>
      </w:r>
    </w:p>
    <w:p>
      <w:r>
        <w:t>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(ci-après LPGA) entrée en vigueur le 1er janvier 2003, s'applique au cas d'espèce.</w:t>
      </w:r>
    </w:p>
    <w:p>
      <w:r>
        <w:rPr>
          <w:b/>
        </w:rPr>
        <w:t>E. 3</w:t>
      </w:r>
    </w:p>
    <w:p>
      <w:r>
        <w:t>Interjeté dans les forme et délai légaux, le recours est recevable (cf. art. 56 à 60 LPGA).</w:t>
      </w:r>
    </w:p>
    <w:p>
      <w:r>
        <w:rPr>
          <w:b/>
        </w:rPr>
        <w:t>E. 4</w:t>
      </w:r>
    </w:p>
    <w:p>
      <w:r>
        <w:t>L'objet du litige porte sur la sanction infligée au recourant, soit la suspension de 5 jours d'indemnités.</w:t>
      </w:r>
    </w:p>
    <w:p>
      <w:r>
        <w:rPr>
          <w:b/>
        </w:rPr>
        <w:t>E. 5</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w:t>
      </w:r>
    </w:p>
    <w:p>
      <w:r>
        <w:t>A/161/2007 - 4/6 - exerçait précédemment et il doit pouvoir apporter la preuve des efforts qu'il a fournis. Selon l'art. 26 al. 2bis de l'ordonnance sur l'assurance-chômage obligatoire et l'indemnité en cas d'insolvabilité (ci-après OACI) l'assuré doit apporter la preuve des efforts entrepris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ses recherches d'emploi ne pourront pas être prises en considération. En outre aux termes de l'art. 30 al. 1 lit. c LACI, le droit de l’assuré à l’indemnité est suspendu notamment lorsqu’il est établi que celui-ci ne fait pas tout ce qu’on peut raisonnablement exiger de lui pour trouver un travail convenable. De même en est-il lorsque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al.1 let. d LACI). Selon l'alinéa 3 de cette disposition, la durée de la suspension est proportionnelle à la gravité de la faute de l'assuré. Enfin, selon l'art. 45 al. 2 let. a OACI, en cas de faute légère, la suspension du droit à l'indemnité est de 1 à 15 jours. Le SECO a précisé que pour que l’ORP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235a § 2). 3. L'Office ne conteste pas que le formulaire a été dûment rempli par le recourant conformément aux obligations que ce dernier doit remplir. De ce fait, l'OCE ne conteste pas que des démarches pour trouver un emploi ont été correctement effectuées. La sanction est en réalité uniquement fondée sur le fait que le formulaire n'a pas été reçu dans le délai supplémentaire octroyé. Il ne peut dès lors pas être reproché au recourant de ne pas entreprendre tout ce que l'on peut raisonnablement exiger de lui pour éviter d'être au chômage au sens de l'art. 30 al. 1 let. c LACI</w:t>
      </w:r>
    </w:p>
    <w:p>
      <w:r>
        <w:t>A/161/2007 - 5/6 - comme la retenu l'OCE. C'est bien plutôt la violation de l'art 30 al. 1 let. d LACI qui lui est reprochée. 4. Il est constant que le recourant n'a pas respecté le délai, ni le délai prolongé, pour produire ses recherches d'emploi. La faute, légère, est dès lors avérée. Cependant, comme mentionné ci-dessus la sanction doit être proportionnelle à la gravité de la faute. Or, le retard du recourant est dû à une négligence de sa part, elle-même due à son état de santé. Grippé, il a été négligent avec ses affaires puis s'est rendu chez son médecin qui a dû le mettre en arrêt maladie. Cette négligence est isolée puisqu'en deux ans de délai cadre le recourant n'avait pas fait l'objet de sanctions jusqu'ici. D'autre part les recherches effectuées étaient de bonne qualité et de quantité suffisante, elles sont établies, et elles étaient parfaitement vérifiables à la date du 19 octobre, date de réception par l'Office. On relèvera que le principe de proportionnalité doit conduire à infliger une sanction différente dans le cas de recherches effectuées mais remises tardivement que dans le cas d'absence totale de recherche. Ainsi, lorsqu'une sanction de cinq jours est donnée à un assuré qui n'a effectué aucune recherche, elle est confirmée par le Tribunal de céans, et il en est de même lorsque l'assuré a certes effectué des recherches mais de mauvaise qualité ou qui sont invérifiables (cf. ATAS 90/2005). Tel n'est pas le cas en l'espèce, raison pour laquelle il se justifie, au regard de l'ensemble des circonstances, de prévoir la sanction minimum en cas de faute légère, soit un jour de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