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ATAS/478/2025 vom 25. Juni 2025</w:t>
      </w:r>
    </w:p>
    <w:p>
      <w:r>
        <w:t>GE Cour de justice, 2025-06-25, FR</w:t>
      </w:r>
    </w:p>
    <w:p>
      <w:r>
        <w:rPr>
          <w:b/>
        </w:rPr>
        <w:t xml:space="preserve">Quelle: </w:t>
      </w:r>
      <w:r>
        <w:t>https://mcp.opencaselaw.ch/entscheid/ge_gerichte_ATAS_478_2025</w:t>
      </w:r>
    </w:p>
    <w:p>
      <w:r>
        <w:t>FR: GE_GERICHTE ATAS/478/2025 du 25 juin 2025</w:t>
      </w:r>
    </w:p>
    <w:p>
      <w:r>
        <w:t>IT: GE_GERICHTE ATAS/478/2025 del 25 giugno 2025</w:t>
      </w:r>
    </w:p>
    <w:p>
      <w:pPr>
        <w:pStyle w:val="Heading2"/>
      </w:pPr>
      <w:r>
        <w:t>Erwägungen</w:t>
      </w:r>
    </w:p>
    <w:p>
      <w:r>
        <w:rPr>
          <w:b/>
        </w:rPr>
        <w:t>E. 14</w:t>
      </w:r>
    </w:p>
    <w:p>
      <w:r>
        <w:t>janvier 2022. Il y a les limitations suivantes : absence de port de charges, de marche, de montée et descente d'escaliers et d'échelles, de position accroupie et agenouillée, de station prolongée debout et de piétinement, nécessité de changer la position de la jambe et de faire des pauses régulièrement, même dans un poste assis, et impossibilité de porter des chaussures fermées de série. La capacité de travail est nulle dans la profession antérieure et de 50% dans une activité adaptée aux limitations. L'état est stabilisé au plus tard deux ans après la dernière intervention, soit le 14 janvier 2022. Le taux d'atteinte à l'intégrité est de 20%. La capacité de travail est nulle du point de vue orthopédique dans l'activité habituelle et de 50% dans un poste adapté aux limitations. La diminution de la capacité de travail est due aux douleurs neurogènes, à la difficulté dans les déplacements et à la nécessité d'un chaussage particulier. L'impact de l'état dépressif n'est pas pris en considération. Le taux d'atteinte à l'intégrité est de 10% pour la paralysie du nerf sciatique poplité externe gauche et de 10% pour la lésion traumatique par écrasement du tendon court fibulaire à gauche. Les experts ne partagent que partiellement l'appréciation du Dr D______ du 25 juin 2021. Le recourant n'est pas capable de travailler à 100% sans perte de rendement, compte tenu du port de charges limité à 0-5kg, la nécessité de la position assise et la limitation de la marche même sur terrain plat. L'infarctus et la sédentarité ont probablement contribué à un déconditionnement global. À la date de l'expertise, l'état douloureux de la cheville et la fonction (marche et autonomie) étaient péjorés. Dans leur complément d'expertise du 3 avril 2025, les experts judiciaires précisent qu'il y a une première péjoration subjective de l'état douloureux après l'intervention chirurgical du Dr C______ du 21 septembre 2018, et une seconde péjoration lors de l'intervention du Prof. K______ du 14 janvier 2020. Il n'y avait aucune raison de mettre cette péjoration sur le compte d'un déconditionnement ou de comorbidités. Avant la seconde péjoration, la capacité de travail était déjà de 50% dans une activité adaptée. Les experts ne partagent pas l'avis de la CRR du 6</w:t>
      </w:r>
    </w:p>
    <w:p>
      <w:r>
        <w:t>A/1868/2022 - 13/26 - novembre 2020, selon lequel le pronostic de réinsertion dans une activité adaptée à 100% était favorable à ce moment. Quant au taux de capacité de travail retenu, il constitue principalement une perte de rendement. Un ENMG ne permet pas d'identifier les douleurs, de sorte que l'ENMG du 19 avril 2024, qui était normal, ne contredit pas la présence de douleurs neurogènes. Les experts ont fondé leurs diagnostics sur les examens cliniques, les rapports médicaux et les examens paracliniques. Enfin, ils ont confirmé un taux d'atteinte à l'intégrité de 20%. 12.1 Cette expertise remplit a priori les principes jurisprudentiels pour lui reconnaître une pleine valeur probante. Elle a été en effet rendue sur la base de la connaissance du dossier médical intégral du recourant, prend en compte ses plaintes, repose sur un examen clinique complet et contient des conclusions motivées et convaincantes. 12.2 L'expertise est en contradiction avec les appréciations du Dr D______ et de la CRR. 12.2.1 Le Dr D______ constate ainsi, dans son rapport du 21 juin 2021, que la marche avec les chaussures est possible sans les cannes, lesquelles sont utilisées essentiellement en cas de déplacement à l'extérieur. Sans chaussures, la marche est difficile. Le recourant présente un déficit des releveurs, en particulier de l'extenseur du gros orteil à 4, et une perte de force en flexion. Deux cicatrices existent au niveau de la cheville, brunâtres hyperalgiques, une de 8 cm sur la malléole interne, une de 13 cm sur la malléole externe concave, hyperalgique au toucher, ainsi qu'une cicatrice oblique de 10 cm à partir de la tête du péroné, linéaire, sensible avec une hypoesthésie descendante (p. 7). Le Dr D______ conclut que le cas est stabilisé, et l'activité antérieure inexigible. En revanche, le recourant peut exercer à plein temps sans baisse de rendement une activité adaptée sans marche prolongée, en particulier en terrain irrégulier, sans montée ou descente d'escaliers ou d'échelles, sans position accroupie prolongée, le port de charges lourdes de manière répétitive étant limitée à 10-15 kg (p. 8). En d'autres termes, une activité sédentaire est compatible avec l'état de santé du recourant, à temps complet. 12.2.2 Du 30 septembre au 28 octobre 2020, l'assuré a séjourné à la CRR. Dans un rapport du 6 novembre 2020, les médecins de la CRR posent, à titre de diagnostics principaux, notamment une entorse latérale de la cheville gauche (le 22 août 2017), et à titre de diagnostics secondaires, des douleurs thoraciques dans un contexte d'anxiété avec troponines négatives et une allodynie en regard des malléoles. Parmi les antécédents médicaux est relevée en particulier une cardiopathie ischémique, NSTEMI avec pose de stent le 15 janvier 2020, FEVG conservée (16 janvier 2020). Les plaintes et limitations fonctionnelles s'expliquent principalement par des lésions objectives constatées pendant le séjour. L'évolution subjective et objective est plutôt favorable, mais l'assuré reste déconditionné. Il a participé activement aux thérapies et s'est investi dans le programme de</w:t>
      </w:r>
    </w:p>
    <w:p>
      <w:r>
        <w:t>A/1868/2022 - 14/26 - rééducation, mais est resté souvent limité par les douleurs. Aucune incohérence n'a été relevée. Une stabilisation sur le plan médical est attendue dans un délai d'un à trois mois. Les limitations fonctionnelles provisoires pour la cheville gauche sont les suivantes : port de charges lourdes de manière répétitive jusqu'à 10-15 kg, marche prolongée en terrain irrégulier, montée et descente de manière répétitive des escalier et échelle, et positions accroupies prolongées. Le pronostic de réinsertion est défavorable dans l'ancienne activité de mécanicien, mais favorable à plein temps dans une activité adaptée aux limitations fonctionnelles. La cardiopathie ischémique, le déconditionnement global, l'obésité et les troubles psychiques avec anxiété, sans lien avec l'accident, peuvent influencer défavorablement le retour au travail. 13. L'intimée dénie à l'expertise judiciaire une valeur probante, en se fondant notamment sur les appréciations de son médecin-conseil. 13.1 Dans ses observations sur l'expertise judiciaire, le Dr D______ met en cause l'impartialité des experts, dans la mesure où le Dr C______, qui a opéré initialement le recourant avec une iatrogénèse, est maintenant un associé important au Centre H______. L'évaluation d'une iatrogénèse et de ses conséquences par les membres d'un même groupe est incompatible avec une mission d'expertise, de l'avis du médecin-conseil. Il admet toutefois la date de stabilisation de l'état de santé retenues par les experts judiciaires, dès lors que l'usage est de retenir au maximum deux ans en post-opératoire pour le type d'atteinte en cause. En ce que les experts mentionnent que le recourant doit avoir le droit de changer de position de sa jambe et de faire des pauses régulièrement dans un poste assis, il relève que cette nouvelle limitation n'est pas motivée médicalement, contredite par les constatations faites lors du séjour du recourant à la CRR et disproportionnée (pauses jusqu'à 50% du temps de travail). L'appréciation de la capacité de travail par les experts judiciaires prend manifestement en compte d'autres facteurs que ceux en rapport avec l'atteinte de la cheville. Le Dr D______ souligne à cet égard que les médecins de la CRR mentionnent aussi que des facteurs contextuels, comme la perception d'un handicap fonctionnel majeure, une anxiété, des symptômes dépressifs assez présents, une kinésiophobie modérée et un catastrophisme élevé, peuvent influencer les aptitudes rapportées par le recourant. Le pronostic de réinsertion dans une activité adaptée est en outre favorable, selon la CRR. L'ENMG des membres inférieurs est normal, ce qui laisse douter que les plaintes du recourant sont en lien avec des atteintes objectivées par un substrat organique. Dans son avis du 12 mai 2025, le Dr D______ est moins catégorique en ce qui concerne l'appréciation de la capacité de travail et considère qu'il lui est difficile de se prononcer sur cette question plusieurs années après la sortie du recourant de la CRR et la dernière appréciation par le médecin-conseil. L'intimée ajoute aux critiques du Dr D______ que la valeur probante de l'expertise est sujette à caution du fait qu'elle a été réalisée en présence du fils du</w:t>
      </w:r>
    </w:p>
    <w:p>
      <w:r>
        <w:t>A/1868/2022 - 15/26 - recourant, alors même que l'investigation doit se dérouler avec la personne expertisée seule, éventuellement accompagnée d'un interprète. La présence de proches ou de tiers peut être contreproductive et fausser les résultats de l'expertise. L'expert doit par ailleurs distinguer dans son rapport les informations fournies par l'assuré de celles données par le tiers. L'intimée reproche aussi aux experts de ne pas avoir justifié la date de stabilisation de l'état retenue. Elle estime en outre que l'absence de franche amyotrophie du membre inférieur gauche constitue une incohérence dans ce dossier, dès lors que le recourant déclare utiliser ce membre de façon limitée. L'incapacité de travail de 50% selon les experts judiciaires est insuffisamment justifiée et surévaluée au regard des possibilités offertes par le marché du travail équilibré. Dans ses écritures du 16 mai 2025, l'intimée relève que les péjorations mentionnées par les experts judiciaires ne sont pas relevantes au regard des améliorations du status du membre inférieur gauche constatées à la fin du séjour à la CRR, soit une amélioration de la mise en charge et du déroulement du pas, et du pronostic favorable de réinsertion dans une activité adaptée émis par les spécialistes de réadaptation de ladite clinique. Compte tenu des doutes sérieux sur la fiabilité et l'impartialité des experts judiciaires, il faut se référer aux évaluations de la CRR et du Dr D______, selon l'intimée. 13.2 13.2.1 En ce qui concerne l'éventuelle prévention des médecins du Centre H______ dont Dr D______ fait état, la chambre de céans a déjà écarté ce grief dans l'ordonnance d'expertise du 20 septembre 2023 (consid. 3.2), compte tenu du fait que l'opération par le Dr C______ a eu lieu en 2018 aux HUG et que le recourant était par la suite suivi et opéré par d'autres médecins. L'intimée n'a pas contesté cette ordonnance. Il est vrai que l'opération par le Dr C______ a provoqué une iatrogénèse (manifestation pathologique due à un acte médical) sous forme de lésion nerveuse périphérique sur nerf sural à gauche et la branche plantaire du nerf tibial à gauche, ce qui pourrait éventuellement constituer une erreur médicale. Toutefois, en l'occurrence, les experts doivent se prononcer sur la capacité de travail du recourant et non sur la responsabilité du Dr C______. Au demeurant, si l'intention des experts était de protéger leur collègue, ils auraient dû confirmer la capacité de travail de 100% dans une activité adaptée et non constater une diminution de cette capacité. Il doit en être déduit que, concrètement, aucune prévention des experts judiciaires ne peut être déduite de leurs conclusions. Quoi qu'il en soit, les faits invoqués par le Dr D______ pour mettre en cause leur impartialité étaient déjà connus au moment de l'ordonnance d'expertise, de sorte que l'intimée est forclose de s'en prévaloir. Elle n'a pas non plus conclu dans ce sens dans cette procédure. 13.2.2 La présence du fils lors d'un ou plusieurs examens ne pose in casu pas non plus de problème. En effet, on ne voit en quoi cette présence aurait pu être</w:t>
      </w:r>
    </w:p>
    <w:p>
      <w:r>
        <w:t>A/1868/2022 - 16/26 - contreproductive ou fausser les résultats, s'agissant d'une expertise orthopédique. L'exclusion de tiers lors d'un examen dans le cadre d'une expertise doit s'imposer surtout pour les expertises psychiatriques qui sont fondées essentiellement sur les dires et le comportement de la personne expertisée. Or, une expertise orthopédique repose sur des examens cliniques des fonctions des différents membres du corps et des examens radiologiques. Le vécu subjectif de la personne expertisée est d'une moindre importance. Partant, la présence du fils du recourant n'enlève en l'espèce pas à l'expertise sa valeur probante. 13.2.3 L'intimée voit dans l'absence d'amyotrophie franche entre les deux jambes (différence de 2cm) une incohérence mettant en doute les plaintes du recourant et partant la validité de l'expertise qui n'en a pas tenu compte. Toutefois, le Dr D______ ne voit pas dans ce fait un motif pour nier la réalité des plaintes du recourant. En effet, à la question y relative de l'intimée, il répond dans son rapport du 25 novembre 2024 de façon très générale. Il semble par ailleurs justifier la discrète amyotrophie par le fait qu'il s'agit in casu essentiellement d'un nerf sensitif et non pas d'un nerf moteur, de sorte que l'on est en présence d'une amyotrophie relative. Au demeurant, la CRR ne relève aucune incohérence, tout en mentionnant « Le patient a pris part de manière active aux thérapies et s'est investi dans le programme de rééducation. Il a cependant souvent été limité par les douleurs » (rapport de la CRR du 6 novembre 2020 p. 5). Le défaut d'analyse de la faible différence des périmètres des membres inférieurs par les experts ne fait ainsi pas apparaître leur expertise comme incomplète ou incohérente. 13.2.4 L'intimée estime que l'expertise judiciaire n'est pas probante du fait qu'elle est en contradiction avec le rapport de sortie de la CRR du 6 novembre 2020. Les experts expliquent dans leur rapport complémentaire qu'ils ne partagent pas l'évolution objective favorable constatée par ladite clinique, du fait que celle-ci s'est fondée essentiellement sur une amélioration du nombre de marches montées à la fin du séjour et d'une amélioration de la force isométrique du quadriceps. Cette amélioration n'est pas en lien avec la cheville ou le pied et est uniquement un résultat d'un entraînement de la musculature proximale et de la marche. De surcroît, cet élément est sans intérêt, dans la mesure où une activité adaptée n'implique pas la montée et la descente d'escaliers. Du point de vue de la cheville, il n'y a aucune évolution favorable. Au demeurant, il ressort du rapport des ateliers professionnels de la CRR que le temps de prise en charge aux ateliers ne pouvait pas excéder deux heures consécutives en position assise, ce qui constitue un facteur en défaveur d'une réinsertion dans une activité en position assise.</w:t>
      </w:r>
    </w:p>
    <w:p>
      <w:r>
        <w:t>A/1868/2022 - 17/26 - Le Dr D______ ne conteste pas que le recourant ne peut travailler qu'en position assise. Partant, l'amélioration de la marche n'est pas forcément un élément déterminant pour l'appréciation de la capacité de travail, d'autant moins que la CRR admet que le recourant est limité par la douleur. 13.2.5 En ce que le médecin-conseil s'étonne que les experts ont retenu dans les limitations fonctionnelles la nécessité de changer la position de la jambe, alors que cela n'est pas mentionné par la CRR, il n'en demeure pas moins que la prise en charge aux ateliers de la CRR n'a pas pu être augmentée au-delà de deux heures, le recourant se sentant mal et manifestant des douleurs. Comme il ne peut pas travailler en position debout, une alternance de positions est en outre difficile à réaliser, d'autant plus que la marche est également douloureuse. Il est à cet égard mentionné dans ledit rapport que le recourant se déplace avec une canne et que les appuis sur la jambe gauche sont partiels ou évités (p. 6). Les appuis sur la cheville sont limités dans la position debout, les flexions au sol ne sont pas réalisées et il y a des douleurs limitantes au niveau du membre inférieur gauche, lors des activités et des déplacements (ibidem p. 7). Les limitations sont donc largement dues à la douleur. Néanmoins, la CRR admet que les plaintes et limitations fonctionnelles s'expliquent principalement par des lésions objectives constatées pendant le séjour. Cela résulte aussi du rapport du</w:t>
      </w:r>
    </w:p>
    <w:p>
      <w:r>
        <w:rPr>
          <w:b/>
        </w:rPr>
        <w:t>E. 14.1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14.2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w:t>
      </w:r>
    </w:p>
    <w:p>
      <w:r>
        <w:t>A/1868/2022 - 19/26 - la décision est rendue doivent être prises en compte (ATF 129 V 222 consid. 4.1 et les références).</w:t>
      </w:r>
    </w:p>
    <w:p>
      <w:r>
        <w:rPr>
          <w:b/>
        </w:rPr>
        <w:t>E. 14.3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w:t>
      </w:r>
    </w:p>
    <w:p>
      <w:r>
        <w:rPr>
          <w:b/>
        </w:rPr>
        <w:t>E. 14.4</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w:t>
      </w:r>
    </w:p>
    <w:p>
      <w:r>
        <w:t>A/1868/2022 - 20/26 -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w:t>
      </w:r>
    </w:p>
    <w:p>
      <w:r>
        <w:rPr>
          <w:b/>
        </w:rPr>
        <w:t>E. 14.5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15. Au vu de ce qui précède, la comparaison de salaires doit se fonder sur l'année 2022, date de la stabilisation de l'état de santé. S'agissant du salaire d'invalide, il y a lieu de se fonder sur les ESS. Toutefois, les tableaux TA1, T1 et T17 de l’ESS 2022 n'ont été publiés que le 29 mai 2024 et l'ESS 2020 le 23 août 2022, soit postérieurement à la décision présentement querellée du 6 mai 2022. Partant, il faut se fonder sur l'ESS 2018, publiée le 21 avril 2020, et indexer le salaire à 2022. Selon ces statistiques, le revenu annuel médian pour les hommes en 2018 est de CHF 65'004.- pour le niveau de compétence 1 (tableau TA1_tirage_skill-level). Adapté à l'année 2022 (indice 2732 en 2018 et de 2822 en 2022) et à la durée</w:t>
      </w:r>
    </w:p>
    <w:p>
      <w:r>
        <w:t>A/1868/2022 - 21/26 - normale des entreprises (41.7 en 2022), le salaire d'invalide est de CHF 69'999.-. À 50%, il s'élève à CHF 34'999.-. Pour le salaire de valide, l'intimée s'est également fondée sur l'ESS et a pris en considération le salaire médian dans la branche du commerce en gros, réparation et réparation d'automobiles avec un niveau de compétence 2 en 2018. Le recourant ne conteste pas ce calcul. Il convient par conséquent de retenir un revenu de CHF 72'003.-, après l'adaptation à l'horaire normal dans cette branche de 42.3 heures. Indexé à l'évolution des salaires entre 2018 et 2022, le salaire sans invalidité s'établit à CHF 74'375.-. La perte de gain est ainsi de 52,94%, soit de 53% arrondie au chiffre supérieur (ATF 131 V 121 consid. 3.2. et 3.3 et les références ; arrêt du Tribunal fédéral 8C_167/2022 du 18 août 2022 consid. 5.4). Par conséquent, le recourant peut prétendre à une rente de 53% dès le 14 janvier 2022. 16.</w:t>
      </w:r>
    </w:p>
    <w:p>
      <w:r>
        <w:t>16.1 Jusqu'à la stabilisation de l'état de santé, l'assuré totalement ou partiellement incapable de travailler à la suite d’un accident a droit, en vertu de l'art 16 LAA, à une indemnité journalière (al. 1). Ce droit naît le troisième jour qui suit celui de l’accident et s’éteint dès que l’assuré a recouvré sa pleine capacité de travail, dès qu’une rente est versée ou dès que l’assuré décède (al. 2). 16.2 En l'espèce, l'état est stabilisé depuis le 14 janvier 2022. Or, l'intimée n'a versé les indemnités journalières que jusqu'au 31 octobre 2021. Par conséquent, le recourant a encore droit aux indemnités journalières du 1er novembre au 13 janvier 2022. Certes, par décision du 28 juin 2021, l'intimée a mis fin aux paiement des soins médicaux et de l'indemnité journalière avec effet au 31 octobre 2021 et le recourant n'a pas formellement contesté cette décision. Cependant, comme relevé ci-dessus, une assurance-accidents ne peut pas statuer définitivement sur la fin du droit aux indemnités journalières et au traitement médical avant de statuer sur le droit à la rente, en raison du rapport étroit existant entre ces prestations (ATF 144 V 354 consid. 4). La suppression du droit aux indemnités journalières et à la prise en charge du traitement médical, d'une part, et le droit à une rente, d'autre part, constituent un seul objet de litige. Les décisions au sujet des indemnités journalières et le remboursement du traitement médical acquièrent force de chose jugée uniquement à partir du moment où l'assureur-accidents a statué sur la totalité de l'objet du litige. 17.</w:t>
      </w:r>
    </w:p>
    <w:p>
      <w:r>
        <w:t>17.1 Aux termes de l'art. 24 LAA, si par suite d'un accident, l'assuré souffre d'une atteinte importante et durable à son intégrité physique, mentale ou psychique, il a</w:t>
      </w:r>
    </w:p>
    <w:p>
      <w:r>
        <w:t>A/1868/2022 - 22/26 - droit à une indemnité équitable pour atteinte à l'intégrité (al. 1). L'indemnité est fixée en même temps que la rente d'invalidité ou, si l'assuré ne peut prétendre une rente, lorsque le traitement médical est terminé (al. 2).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 ; sur la répartition des tâches entre le médecin et l'administration ou le tribunal, cf. également ATF 140 V 193 consid. 3.2).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Pour les atteintes à l'intégrité spéciales ou qui ne figurent pas dans la liste, le barème est appliqué par analogie, en fonction de la gravité de l'atteinte (ch. 1 al. 2</w:t>
      </w:r>
    </w:p>
    <w:p>
      <w:r>
        <w:t>A/1868/2022 - 23/26 -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17.2 En l'espèce, les experts judiciaires ont considéré que le taux d'atteinte à l'intégrité était de 10% en raison de la paralysie du nerf sciatique externe gauche et du même pourcentage pour la lésion par écrasement du tendon court fibulaire à gauche. Le total de ce taux est ainsi de 20%. Le Dr D______ admet une atteinte neurologique à hauteur de 10%. Quant aux 10% attribués à l'atteinte par écrasement du court fibulaire gauche, il relève que cette évaluation n'est pas rattachée aux tables de la SUVA. Cette atteinte pourrait être évaluée en tant que faiblesse de stabilité mécanique, notamment en raison du rôle du court fibulaire dans la stabilité de la cheville. Selon la table 6 de la SUVA, seule une instabilité grave donne droit à une indemnité entre 5 et 10%. Cependant, en l'occurrence, la stabilité n'a pas pu être évaluée lors de l'expertise à cause des douleurs ressenties par le recourant. Les experts semblent considérer dans leur complément d'expertise que la lésion traumatique du court fibulaire constitue une instabilité sévère, dès lors que le recourant ne marche pas sans moyen auxiliaire et déclare subjectivement la présence d'instabilité. L'intimée fait observer à cet égard que l'appréciation de l'instabilité par les experts ne repose que sur une déclaration subjective du recourant et non sur une évaluation clinique. Or, seules les constatations médicales peuvent être prises en compte, selon le Tribunal fédéral, et non les effets particuliers ressentis par la personne lésée. À cet égard, il sied de relever que les chutes du recourant sont documentées dans un rapport du 27 septembre 2022 des HUG en lien avec le trouble psychique (pièce 67 p. 902-905), où il est mentionné que les douleurs de la cheville</w:t>
      </w:r>
    </w:p>
    <w:p>
      <w:r>
        <w:t>A/1868/2022 - 24/26 - conduisent à des limitations de la mobilité (diminution du périmètre de marche à 50 m) et à des chutes, dont deux étaient survenues au printemps 2022 (p. 903- 904). Quoi qu'il en soit, comme relevé ci-dessus, les tables de la SUVA ne sont pas exhaustives. Pour les atteintes qui ne figurent pas dans la liste, il faut appliquer le barème par analogie, en fonction de la gravité de l'atteinte. Or, les experts judiciaires ont évalué l'atteinte par écrasement du tendon court fibulaire à 10%, ce qui est convaincant, dans la mesure où une atteinte au nerf sural est du même pourcentage. Partant, l'indemnité pour atteinte à l'intégrité sera fixée à 20%. 18. Le recourant réclame enfin des intérêts moratoires sur les prestations rétroactives dues. 18.1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24 mois à compter de la naissance du droit, le délai de douze mois à partir du moment où l'assuré fait valoir son droit, le devoir incombant à l'assuré de collaborer (Sylvie PÉTRAMAND, Commentaire romand, Loi sur la partie générale des assurances sociales, 2018, n° 31 ad art. 26 LPGA). L'obligation de payer des intérêts moratoires commence 24 mois après la naissance du droit en tant que tel pour l'ensemble des prestations courues jusque- là, et non pas seulement deux ans après l'exigibilité de chaque prestation (ATF 133 V 9 consid. 3.6;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Pour chaque prestation, il faut consulter la loi spéciale applicable pour déterminer à quel moment naît le droit à cette prestation (Sylvie PÉTREMAND, in Commentaire romand, Loi sur la partie générale des assurances sociales, 2018, n. 36 ad art. 26 LPGA). Selon l'art. 24 al. 2 LAA, l'indemnité pour atteinte à l'intégrité est fixée en même temps que la rente d'invalidité ou, si l'assuré ne peut prétendre une rente, lorsque le traitement médical est terminé.</w:t>
      </w:r>
    </w:p>
    <w:p>
      <w:r>
        <w:t>A/1868/2022 - 25/26 - 18.2 En l'espèce, les prestations sont dues depuis plus de 24 mois, dès lors que le recourant a droit à des indemnités journalières du 1er novembre 2021 au 13 janvier 2022, à une rente dès le 14 janvier 2022 et à une indemnité pour atteinte à l'intégrité de 10% supplémentaires depuis cette même date. Le délai de deux ans est ainsi écoulé depuis le 1er novembre 2023 pour le paiement des indemnités journalières et depuis le 14 janvier 2024 en ce qui concerne les rentes et l'indemnité pour atteinte à l'intégrité. Quant au recourant, il a fait valoir son droit aux prestations par son opposition, en date du 17 janvier 2022, à la décision du 30 novembre 2021. Par ailleurs, aucune violation du devoir de collaborer ne peut lui être reproché. Ainsi, les intérêts moratoires de 5% sont dus pour les indemnités journalières dès le 1er novembre 2023 et, pour les rentes et l'indemnité pour atteinte à l'intégrité supplémentaire de 10%, dès le 14 janvier 2024.</w:t>
      </w:r>
    </w:p>
    <w:p>
      <w:r>
        <w:rPr>
          <w:b/>
        </w:rPr>
        <w:t>E. 19</w:t>
      </w:r>
    </w:p>
    <w:p>
      <w:r>
        <w:t>Au vu de ce qui précède, le recours sera partiellement admis.</w:t>
      </w:r>
    </w:p>
    <w:p>
      <w:r>
        <w:rPr>
          <w:b/>
        </w:rPr>
        <w:t>E. 20</w:t>
      </w:r>
    </w:p>
    <w:p>
      <w:r>
        <w:t>Dans la mesure où le recourant obtient largement gain de cause, une indemnité de CHF 3'000.- lui est octroyée à titre de dépens.</w:t>
      </w:r>
    </w:p>
    <w:p>
      <w:r>
        <w:rPr>
          <w:b/>
        </w:rPr>
        <w:t>E. 21</w:t>
      </w:r>
    </w:p>
    <w:p>
      <w:r>
        <w:t>Pour le surplus, la procédure est gratuite (art. 61 let. fbis LPGA a contrario).</w:t>
      </w:r>
    </w:p>
    <w:p>
      <w:r>
        <w:t>A/1868/2022 - 26/26 -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