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ATAS/478/2021 vom 19. Mai 2021</w:t>
      </w:r>
    </w:p>
    <w:p>
      <w:r>
        <w:t>GE Cour de justice, 2021-05-19, FR</w:t>
      </w:r>
    </w:p>
    <w:p>
      <w:r>
        <w:rPr>
          <w:b/>
        </w:rPr>
        <w:t xml:space="preserve">Quelle: </w:t>
      </w:r>
      <w:r>
        <w:t>https://mcp.opencaselaw.ch/entscheid/ge_gerichte_ATAS_478_2021</w:t>
      </w:r>
    </w:p>
    <w:p>
      <w:r>
        <w:t>FR: GE_GERICHTE ATAS/478/2021 du 19 mai 2021</w:t>
      </w:r>
    </w:p>
    <w:p>
      <w:r>
        <w:t>IT: GE_GERICHTE ATAS/478/2021 del 19 maggio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Toutefois, dans la mesure où le recours était, au 1er janvier 2021, pendant devant la chambre de céans, il reste soumis à l'ancien droit (cf. art. 83 LPGA).</w:t>
      </w:r>
    </w:p>
    <w:p>
      <w:r>
        <w:t>A/1420/2020 - 14/29 -</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les forme et délai prévus par la loi, le recours est recevable (art. 56 et 60 LPGA ; art. 89B de la loi sur la procédure administrative du 12 septembre 1985 [LPA - E 5 10] ; art. 1 et 2 de l'ordonnance sur la suspension des délais dans les procédures civiles et administratives pour assurer le maintien de la justice en lien avec le coronavirus [COVID-19] du 20 mars 2020).</w:t>
      </w:r>
    </w:p>
    <w:p>
      <w:r>
        <w:rPr>
          <w:b/>
        </w:rPr>
        <w:t>E. 5</w:t>
      </w:r>
    </w:p>
    <w:p>
      <w:r>
        <w:t>Les questions litigieuses portent sur la stabilisation de l’état de santé du recourant au 25 juillet 2019 et, le cas échéant, sur le degré de son invalidité et le taux de l’IPAI.</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w:t>
      </w:r>
    </w:p>
    <w:p>
      <w:r>
        <w:t>A/1420/2020 - 15/29 -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7</w:t>
      </w:r>
    </w:p>
    <w:p>
      <w:r>
        <w:t>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Si l'assuré est invalide</w:t>
      </w:r>
    </w:p>
    <w:p>
      <w:r>
        <w:t>A/1420/2020 - 16/29 - (art. 8 LPGA) à 10 % au moins par suite d'un accident, il a droit à une rente d'invalidité (art. 18 al. 1 LAA). L'art. 19 al. 1 LAA prévoit que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b.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par exemple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Dans le cas d'un assuré qui avait refusé de subir une arthrodèse de la cheville et auquel les médecins n'avaient pas proposé d'autre traitement, le Tribunal fédéral a confirmé que c'était à juste titre que l'assurance-accidents avait conclu à un état stabilisé (arrêt du Tribunal fédéral 8C_247/2018 du 1er avril 2019 consid. 5.3).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A/1420/2020 - 17/29 -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w:t>
      </w:r>
    </w:p>
    <w:p>
      <w:r>
        <w:t>A/1420/2020 - 18/29 - selon la procédure de l'art. 44 LPGA ou une expertise judiciaire (ATF 135 V 465 consid. 4; arrêt du Tribunal fédéral 9C_301/2013 du 4 septembre 2013 consid. 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l’occurrence, par sa décision litigieuse, l'intimée a confirmé que l’état de santé du recourant était stabilisé au 25 juillet 2019, de sorte qu’elle pouvait mettre un terme au paiement du traitement médical (hormis des séances de physiothérapie de la colonne vertébrale/lombaire pendant un an et la prise en charge d’un médicament contre les douleurs neuropathiques pendant deux ans) à compter du 26 juillet 2019, cesser le versement des indemnités journalières au 30 novembre 2019 et se prononcer sur le droit du recourant à une rente d'invalidité à compter du 1er décembre 2019, compte tenu d’une capacité de travail entière dans une activité adaptée. Son appréciation est fondée sur les conclusions du Dr N______ des 8 janvier et 25 juillet 2019. Le recourant estime, pour sa part, que son état de santé n'était pas stabilisé au 25 juillet 2019 et qu’il était dans l’incapacité d’exercer une activité adaptée à 100 %. b. La chambre de céans constate que les rapports du Dr N______, médecin d'arrondissement, se fondent sur l'étude du dossier médical du recourant, lequel comprend tous les rapports pertinents, dont le dossier d'imagerie et les constats effectués lors du séjour du recourant à la CRR, ainsi que sur des examens</w:t>
      </w:r>
    </w:p>
    <w:p>
      <w:r>
        <w:t>A/1420/2020 - 19/29 - personnels du recourant. Les plaintes de ce dernier ont été prises en considération et les points litigieux importants ont fait l'objet d'une analyse approfondie. En particulier, avant de se prononcer définitivement sur la stabilisation de l’état de santé du recourant, le Dr N______ a requis des examens complémentaires (cf. rapport du 8 janvier 2019). Enfin, ses conclusions sont claires, cohérentes et motivées. Ses rapports remplissent donc les critères jurisprudentiels pour se voir reconnaître une pleine valeur probante. Il convient encore de vérifier s'il existe des indices concrets mettant en cause leur bien-fondé. S'agissant des atteintes à la santé et de leur évolution, le Dr N______ a retenu que le recourant présentait une hernie discale extra-foraminale L5-S1 gauche, un status post-chirurgie, une arthrodèse intersomatique L5-S1 par voie trans-foraminale gauche et un status post-arthrodèse. Il persistait incontestablement des séquelles neurologiques douloureuses, essentiellement lombalgiques (cf. rapports des 8 janvier et 25 juillet 2019). Ces constatations et diagnostics sont conformes aux pièces produites par-devant la chambre de céans (cf. rapports du Dr P______ du 15 février 2019 et de la Dresse Q______ des 25 février et 5 août 2019). En outre, avant de retenir la stabilisation du cas, le Dr N______ s’est assuré que l’arthrodèse lombaire effectuée le 31 mai 2017 avait fusionné de manière stable. Or, cet élément a été confirmé par imagerie du 13 juin 2019. Par ailleurs, la stabilisation du cas a été confirmée par l'évaluation du Dr P______, qui a relevé qu’il n’y avait pas d’indication à une nouvelle prise en charge chirurgicale (cf. rapport du 15 février 2019), tout comme l’a fait la Dresse Q______, cette spécialiste ajoutant que le recourant devait continuer un travail de reconditionnement, étant précisé qu’il ne retrouverait pas une condition physique identique à celle existant avant l’accident et qu’il devait se décentrer de sa symptomatologie douloureuse chronique (rapports des 25 février et 5 août 2019). On relèvera encore qu’à la fin de l’année 2018 déjà, le Dr O______ avait retenu l’existence de troubles de la statique, avec plusieurs facteurs de risque pour une chronicisation, essentiellement d’ordre psychologique et social. La voie purement conservatrice devait être privilégiée et les approches plus invasives ne devaient pas être proposées au recourant. Quoi qu’il en soit, une neurostimulation ne pourrait en tout cas pas assurer une amélioration fonctionnelle, son efficacité étant démontrée uniquement sur l’intensité des douleurs (cf. rapport du 22 novembre 2018). En définitive, seule la Dresse M______, médecin traitant, a contesté la stabilisation du cas au 25 juillet 2019, au motif que le Dr N______ n’aurait pas tenu compte des douleurs neuropathiques séquellaires (rapport du 29 août 2019). Or, contrairement à que la Dresse M______ a avancé, ces atteintes ont dûment été prises en considération par le médecin d’arrondissement (cf. rapport du 8 janvier 2019). Enfin, contrairement à ce qu’avance le recourant, la persistance de douleurs et l’absence d’un diagnostic clair quant à l’origine des dorsalgies ne constituent pas</w:t>
      </w:r>
    </w:p>
    <w:p>
      <w:r>
        <w:t>A/1420/2020 - 20/29 - des conditions suffisantes pour retenir que son état de santé n’était pas stabilisé au 25 juillet 2019. En effet, encore faut-il que la poursuite du traitement médical soit susceptible d'apporter une amélioration sensible de son état de santé, au sens de l'art. 19 al. 1 LAA. Or, aucun médecin ayant examiné l’intéressé ne le prétend. La chambre de céans considère ainsi comme établi, au degré de la vraisemblance prépondérante requis, qu'à compter du 25 juillet 2019, il n'y avait plus lieu d'attendre de la continuation du traitement médical une sensible amélioration de l'état de santé somatique du recourant. Par conséquent, l'intimée était fondée à mettre un terme à la prise en charge des frais médicaux dès le 26 juillet 2019 (hormis des séances de physiothérapie pendant un an et la prescription d’un médicament contre les douleurs neuropathiques pendant deux ans) et au versement des indemnités journalières dès le 1er décembre 2019. c. S’agissant de la capacité de travail retenue par l’intimée, que le recourant conteste, on relèvera que le Dr N______ a reconnu que les troubles causés par l’accident assuré étaient incompatibles avec l’activité habituelle du recourant. Par contre, on pouvait exiger qu’il effectue une activité professionnelle essentiellement sédentaire, à plein temps, sans baisse de rendement, avec une alternance entre la position assise et la position debout. Les restrictions empêchaient toutefois le port de charges supérieures à 8 kg, la rotation du tronc par rapport au bassin, la position en porte-à-faux et statique prolongée, les piétinements et les montées sur échelle (cf. rapport du 25 juillet 2019). Il y a lieu de remarquer que les limitations fonctionnelles retenues par le Dr N______ correspondent à celles mentionnées par la Dresse Q______, et qu’elles sont même plus sévères. En effet, cette spécialiste a estimé que le recourant ne pouvait plus faire un travail physique impliquant de la marche prolongée, le port de charges et des mouvements répétés de torsion du rachis. Par contre, il pouvait exercer une activité sédentaire, en position assise, avec la possibilité de se relever régulièrement (cf. rapport du 5 août 2019). Par ailleurs aucun des nombreux médecins consultés par le recourant ne s'est expressément déterminé sur le taux de sa capacité de travail résiduelle dans une activité adaptée, à l’exception du Dr U______, médecin traitant, lequel a estimé qu’elle n’excédait pas 50 %, avec un port de charges limité à 5 kg (cf. rapport du 30 septembre 2020). Or, il sied de relever que le Dr U______, qui se trouve dans une relation particulière de confiance avec le recourant, n'a fourni aucune justification à l'appui de son appréciation très succincte, tout comme la Dresse M______, qui a simplement considéré que les conclusions du Dr N______ étaient incohérentes (cf. rapport du 29 août 2019). Les pièces versées au dossier ne contiennent donc aucun indice concret permettant de mettre en cause les conclusions du médecin d'arrondissement de l'intimée. Partant, il y a lieu de retenir qu’en raison des atteintes somatiques causées par l’accident survenu le 28 avril 2010, le recourant présentait, au degré de la</w:t>
      </w:r>
    </w:p>
    <w:p>
      <w:r>
        <w:t>A/1420/2020 - 21/29 - vraisemblance prépondérante, une capacité de travail totale dans une activité adaptée à ses limitations fonctionnelles, sans baisse de rendement, à compter du 25 juillet 2019.</w:t>
      </w:r>
    </w:p>
    <w:p>
      <w:r>
        <w:rPr>
          <w:b/>
        </w:rPr>
        <w:t>E. 11</w:t>
      </w:r>
    </w:p>
    <w:p>
      <w:r>
        <w:t>a. Il y a lieu encore d’examiner si les troubles psychiques présentés par le recourant auraient dû être pris en compte par l’intimée pour déterminer sa capacité de travail résiduelle et, partant, son degré d’invalidité.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w:t>
      </w:r>
    </w:p>
    <w:p>
      <w:r>
        <w:t>A/1420/2020 - 22/29 -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Le Tribunal fédéral a qualifié d'accident de gravité moyenne, à la limite des accidents de peu de gravité, une chute en arrière d'une patineuse suite à laquelle sa tête avait heurté la glace (arrêt du Tribunal fédéral 8C_878/2012 du 4 septembre 2013).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w:t>
      </w:r>
    </w:p>
    <w:p>
      <w:r>
        <w:t>A/1420/2020 - 23/29 -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ce dernier cas de figure, pour que le caractère adéquat de l'atteinte psychique puisse être retenu, il faut un cumul de quatre critères au moins parmi les sept consacrés par la jurisprudence ou que l'un des critères se manifeste avec une intensité particulière (arrêt du Tribunal fédéral 8C_775/2017 du 13 juin 2018 consid. 5.3 et la référence). c. En l’occurrence, il ressort du dossier que le 28 avril 2010, le recourant a perdu l’équilibre en portant un fauteuil sur son lieu de travail et qu’en tombant, il a heurté les pieds du fauteuil. Le recourant a ainsi fait une chute banale de sa propre hauteur, ne représentant pas un événement à haute énergie. L’accident ne peut dès lors être qualifié que de peu de gravité et l’existence d’un lien de causalité entre celui-ci et les troubles psychiques du recourant doit en conséquence être niée. Il en résulte qu’il n’y a pas lieu de déterminer la capacité de travail résiduelle du recourant et son degré d’invalidité, dans le cadre du présente litige, en tenant compte de son atteinte psychique.</w:t>
      </w:r>
    </w:p>
    <w:p>
      <w:r>
        <w:rPr>
          <w:b/>
        </w:rPr>
        <w:t>E. 12</w:t>
      </w:r>
    </w:p>
    <w:p>
      <w:r>
        <w:t>a. Le recourant a contesté l’abattement sur le revenu avec invalidité pris en compte par l’intimée pour déterminer son taux d’invalidité. b.a.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phr. 1 LAA). b.b.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w:t>
      </w:r>
    </w:p>
    <w:p>
      <w:r>
        <w:t>A/1420/2020 - 24/29 -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Si l'on ne peut déterminer ou évaluer sûrement le revenu hypothétique sans invalidité et le revenu d'invalide, il faut, en s'inspirant de la méthode spécifique pour non-actifs (art. 8 al. 3 LPGA),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arrêt du Tribunal fédéral 8C_748/2008 du 10 juin 2009 consid. 2.1).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9C_644/2015 du 3 mai 2016 consid. 4.3.1). Pour procéder à la comparaison des revenus, il convient de se placer au moment de la naissance du droit à la rente; les revenus avec et sans invalidité doivent être</w:t>
      </w:r>
    </w:p>
    <w:p>
      <w:r>
        <w:t>A/1420/2020 - 25/29 - déterminés par rapport à un même moment et les modifications de ces revenus susceptibles d'influencer le droit à la rente survenues jusqu'au moment où la décision est rendue doivent être prises en compte (ATF 129 V 222 et ATF 128 V 174). b.c.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b.d.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w:t>
      </w:r>
    </w:p>
    <w:p>
      <w:r>
        <w:rPr>
          <w:b/>
        </w:rPr>
        <w:t>E. 13</w:t>
      </w:r>
    </w:p>
    <w:p>
      <w:r>
        <w:t>a. Le recourant conteste le degré de l’IPAI retenu, au motif que ses troubles psychiques n’avaient pas été pris en compte. b.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phr. 1); elle ne doit pas excéder le montant maximum du gain annuel assuré à l'époque de l'accident et elle est échelonnée selon la gravité de l'atteinte à l'intégrité (al. 1 phr. 2).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w:t>
      </w:r>
    </w:p>
    <w:p>
      <w:r>
        <w:t>A/1420/2020 - 28/29 -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c. En l’espèce, dès lors que les troubles psychiques ne sont pas en lien de causalité adéquate avec l’événement assuré par l’intimée, c’est à juste titre que l’IPAI a été établie sans en tenir compte. Le recourant n’a pas produit de pièces médicales remettant en cause l’appréciation de l’IPAI par le Dr N______ le 20 novembre 2019, de sorte qu’il se justifie de confirmer cette dernière. La décision querellée est ainsi bien fondée en tant qu’elle retient une IPA de 12%.</w:t>
      </w:r>
    </w:p>
    <w:p>
      <w:r>
        <w:rPr>
          <w:b/>
        </w:rPr>
        <w:t>E. 14</w:t>
      </w:r>
    </w:p>
    <w:p>
      <w:r>
        <w:t>Infondé, le recours doit être rejeté.</w:t>
      </w:r>
    </w:p>
    <w:p>
      <w:r>
        <w:rPr>
          <w:b/>
        </w:rPr>
        <w:t>E. 15</w:t>
      </w:r>
    </w:p>
    <w:p>
      <w:r>
        <w:t>Pour le surplus, la procédure est gratuite (art. 61 let. a LPGA).</w:t>
      </w:r>
    </w:p>
    <w:p>
      <w:r>
        <w:t>A/1420/2020 - 29/29 -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