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ATAS/477/2019 vom 28. Mai 2019</w:t>
      </w:r>
    </w:p>
    <w:p>
      <w:r>
        <w:t>GE Cour de justice, 2019-05-28, FR</w:t>
      </w:r>
    </w:p>
    <w:p>
      <w:r>
        <w:rPr>
          <w:b/>
        </w:rPr>
        <w:t xml:space="preserve">Quelle: </w:t>
      </w:r>
      <w:r>
        <w:t>https://mcp.opencaselaw.ch/entscheid/ge_gerichte_ATAS_477_2019</w:t>
      </w:r>
    </w:p>
    <w:p>
      <w:r>
        <w:t>FR: GE_GERICHTE ATAS/477/2019 du 28 mai 2019</w:t>
      </w:r>
    </w:p>
    <w:p>
      <w:r>
        <w:t>IT: GE_GERICHTE ATAS/477/2019 del 28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adressé dans les forme et délai légaux (art. 56ss LPGA), de sorte qu'il est recevable.</w:t>
      </w:r>
    </w:p>
    <w:p>
      <w:r>
        <w:rPr>
          <w:b/>
        </w:rPr>
        <w:t>E. 3</w:t>
      </w:r>
    </w:p>
    <w:p>
      <w:r>
        <w:t>Le litige porte sur le droit de l’assurée aux prestations complémentaires à sa rente de vieillesse et à la restitution de la somme de CHF 62'642.50, représentant les prestations versées à tort du 1er août 2011 au 31 juillet 2018, plus particulièrement sur la rente de veuve versée par la sécurité sociale espagnole.</w:t>
      </w:r>
    </w:p>
    <w:p>
      <w:r>
        <w:rPr>
          <w:b/>
        </w:rPr>
        <w:t>E. 4</w:t>
      </w:r>
    </w:p>
    <w:p>
      <w:r>
        <w:t>L’assurée a, préalablement, conclu à la restitution de l’effet suspensif.</w:t>
      </w:r>
    </w:p>
    <w:p>
      <w:r>
        <w:rPr>
          <w:b/>
        </w:rPr>
        <w:t>E. 5</w:t>
      </w:r>
    </w:p>
    <w:p>
      <w:r>
        <w:t>Dans sa décision du 9 octobre 2018, le SPC a expressément retiré l’effet suspensif à un éventuel recours. Il a toutefois précisé, dans sa réponse du 21 novembre 2018, que l’effet suspensif était accordé s’agissant de l’obligation de rembourser.</w:t>
      </w:r>
    </w:p>
    <w:p>
      <w:r>
        <w:rPr>
          <w:b/>
        </w:rPr>
        <w:t>E. 6</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w:t>
      </w:r>
    </w:p>
    <w:p>
      <w:r>
        <w:t>A/3866/2018 - 4/14 - rétablir l'effet suspensif retiré dans la décision. Une telle requête doit être traitée sans délai (al. 2).</w:t>
      </w:r>
    </w:p>
    <w:p>
      <w:r>
        <w:rPr>
          <w:b/>
        </w:rPr>
        <w:t>E. 7</w:t>
      </w:r>
    </w:p>
    <w:p>
      <w:r>
        <w:t>En l’espèce, en requérant la restitution de l’effet suspensif à son recours, l’assurée conclut à l’octroi des prestations complémentaires fédérales et cantonales qui lui étaient allouées jusqu’à la décision du 6 juillet 2018, ce qui impliquerait que la rente de veuve espagnole ne serait pas prise en considération pour le calcul des prestations dues. Or, les mesures provisionnelles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Restituer l’effet suspensif reviendrait en l’espèce à statuer sur le fond. Il apparaît en l’occurrence que la question n’a plus lieu d’être posée au vu de l’issue du litige, étant rappelé que l’effet suspensif est en revanche acquis s’agissant de l’obligation de restituer la somme de CHF 62'642.50.</w:t>
      </w:r>
    </w:p>
    <w:p>
      <w:r>
        <w:rPr>
          <w:b/>
        </w:rPr>
        <w:t>E. 8</w:t>
      </w:r>
    </w:p>
    <w:p>
      <w:r>
        <w:t>a. Selon l'art. 25 al. 1, 1ère phrase LPGA, en relation avec l'art. 2 al. 1 let. a OPGA,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w:t>
      </w:r>
    </w:p>
    <w:p>
      <w:r>
        <w:t>A/3866/2018 - 5/14 -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l’espèce, la décision querellée est motivée par le fait que le SPC a procédé à la mise à jour du loyer et tenu compte de la rente de veuve que verse à l’assurée la sécurité sociale espagnole et de comptes bancaires suisse et espagnol, éléments qui n’avaient pas été annoncés, et qu’il n’avait, partant, pas pris en considération dans le calcul initial des prestations complémentaires. Ceci constitue indéniablement un fait nouveau permettant la révision d’une décision.</w:t>
      </w:r>
    </w:p>
    <w:p>
      <w:r>
        <w:rPr>
          <w:b/>
        </w:rPr>
        <w:t>E. 9</w:t>
      </w:r>
    </w:p>
    <w:p>
      <w:r>
        <w:t>a.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 Ueli KIESER, ATSG-Kommentar, 3ème éd., 2015, n. 54 ss ad art. 25).</w:t>
      </w:r>
    </w:p>
    <w:p>
      <w:r>
        <w:t>A/3866/2018 - 6/14 -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 271/04 du 21 mars 2006 consid. 2.5). b. En l'espèce, ce n'est que dans le cadre de la révision du dossier, initiée dès avril 2018, que le SPC a disposé de tous les justificatifs y relatifs. Le délai de péremption d'un an commençant à courir seulement lorsque le SPC a en mains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le SPC a demandé la restitution des prestations versées à tort.</w:t>
      </w:r>
    </w:p>
    <w:p>
      <w:r>
        <w:rPr>
          <w:b/>
        </w:rPr>
        <w:t>E. 10</w:t>
      </w:r>
    </w:p>
    <w:p>
      <w:r>
        <w:t>L'art. 25 al. 2 LPGA prévoit également que « Le droit de demander la restitution s’éteint (…) au plus tard cinq ans après le versement de la prestation. Si la créance naît d’un acte punissable pour lequel le droit pénal prévoit un délai de prescription plus long, celui-ci est déterminant ». Le délai de péremption absolu de cinq ans commence à courir à la date du versement effectif de la prestation (ATF 112 V 180 consid. 4a; 111 V 14 consid. 3). Il s’ensuit que la prétention en restitution des prestations versées à tort à l’intéressée peut s’étendre, à tout le moins, à celles qui l’ont été durant le délai de cinq ans prévu à l’art. 25 al. 2 LPGA, soit du 1er août 2013 au 31 juillet 2018.</w:t>
      </w:r>
    </w:p>
    <w:p>
      <w:r>
        <w:rPr>
          <w:b/>
        </w:rPr>
        <w:t>E. 11</w:t>
      </w:r>
    </w:p>
    <w:p>
      <w:r>
        <w:t>a. En réclamant à l’assurée le remboursement des prestations versées à tort depuis le 1er août 2011, le SPC a appliqué le délai de prescription de l’action pénale. Il considère que l’assurée a manqué à son obligation de communiquer au sens de l’art. 31 let d LPC, aux termes duquel « 1 Est puni, à moins qu'il ne s'agisse d'un crime ou d'un délit frappé d'une peine plus élevée par le code pénal, d'une peine pécuniaire n'excédant pas 180 jours- amende : a. … b. … c. … d. celui qui manque à son obligation de communiquer (art. 31, al. 1, LPGA) ». Selon l’art. 31 al. 1 LPGA, « L'ayant droit, ses proches ou les tiers auxquels une prestation est versée sont tenus de communiquer à l'assureur ou, selon le cas, à l'organe compétent toute modification importante des circonstances déterminantes pour l'octroi d'une prestation ».</w:t>
      </w:r>
    </w:p>
    <w:p>
      <w:r>
        <w:t>A/3866/2018 - 7/14 - L’art. 24 OPC-AVS/AI règle l’obligation de renseigner comme suit : «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 L’art. 25 al. 1 let d OPC-AVS/AI précise enfin que «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 b.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2012 ; ATAS/3/2012 du 10 janvier 2012).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Conformément à l’art. 12 du Code pénal suisse du 21 décembre 1937 (CP - RS 311.0),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w:t>
      </w:r>
    </w:p>
    <w:p>
      <w:r>
        <w:t>A/3866/2018 - 8/14 -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 Pour que le délai de prescription plus long prévu par le droit pénal s'applique, il n'est pas nécessaire que l'auteur de l'infraction ait été condamné (ATF 118 V 193 consid. 4a; 113 V 256 consid. 4a; voir également ATF 122 III 225 consid. 4). c. En matière de prestations complémentaires, ce sont principalement les art. 31 LPC - également applicable en matière de prestations complémentaires cantonales conformément à l’art. 1A LPCC - et 146 CP - réprimant, respectivement, l’obtention indue d’une prestation prévue par la LPC par des indications fausses ou incomplètes, et l’escroquerie - qui entrent en considération lorsqu’il y a lieu de déterminer si le délai pénal doit trouver application.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d. Il s’agit en l’occurrence de déterminer si l’assurée a ou non respecté son obligation de communiquer au SPC toute modification importante des circonstances déterminantes pour l'octroi d'une prestation, au sens des art. 31 let d LPC et 31 LPGA, étant rappelé que le SPC ne reproche pas à l’assurée d’avoir commis une escroquerie.</w:t>
      </w:r>
    </w:p>
    <w:p>
      <w:r>
        <w:t>A/3866/2018 - 9/14 - L'art. 31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w:t>
      </w:r>
    </w:p>
    <w:p>
      <w:r>
        <w:rPr>
          <w:b/>
        </w:rPr>
        <w:t>E. 14</w:t>
      </w:r>
    </w:p>
    <w:p>
      <w:r>
        <w:t>Sur le plan fédéral,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al.1 LPC, « 1 Les revenus déterminants comprennent: a. deux tiers des ressources en espèces ou en nature provenant de l'exercice d'une activité lucrative, pour autant qu'elles excèdent annuellement 1000 francs pour les personnes seules et 1500 francs pour les couples et les</w:t>
      </w:r>
    </w:p>
    <w:p>
      <w:r>
        <w:t>A/3866/2018 - 11/14 -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w:t>
      </w:r>
    </w:p>
    <w:p>
      <w:r>
        <w:rPr>
          <w:b/>
        </w:rPr>
        <w:t>E. 15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w:t>
      </w:r>
    </w:p>
    <w:p>
      <w:r>
        <w:rPr>
          <w:b/>
        </w:rPr>
        <w:t>E. 16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A/3866/2018 - 12/14 -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17</w:t>
      </w:r>
    </w:p>
    <w:p>
      <w:r>
        <w:t>En l’espèce, il n’est pas contesté que l’assurée a été mise au bénéfice d’une rente de veuve par la sécurité sociale espagnole. Cette rente fait sans aucun doute partie de ses revenus déterminants au sens des art. 11 al. 1 let. d LPC et 5 al. 1 LPCC. L’assurée déclare toutefois qu’elle est versée à ses enfants et qu’elle en ignore même le montant.</w:t>
      </w:r>
    </w:p>
    <w:p>
      <w:r>
        <w:rPr>
          <w:b/>
        </w:rPr>
        <w:t>E. 18</w:t>
      </w:r>
    </w:p>
    <w:p>
      <w:r>
        <w:t>Selon l’art. 11 al. 1 let. g LPC, les revenus déterminants comprennent également les ressources et parts de fortune dont un ayant droit s’est dessaisi (cf. également art. 5 LPCC).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w:t>
      </w:r>
    </w:p>
    <w:p>
      <w:r>
        <w:t>A/3866/2018 - 13/14 - reçu en échange une contre-prestation équivalente ». Les deux conditions précitées ne sont pas cumulatives, mais alternatives. (ATF 131 V 329 consid. 4.2 à 4.4).</w:t>
      </w:r>
    </w:p>
    <w:p>
      <w:r>
        <w:rPr>
          <w:b/>
        </w:rPr>
        <w:t>E. 19</w:t>
      </w:r>
    </w:p>
    <w:p>
      <w:r>
        <w:t>En l’espèce, l’assurée a renoncé à percevoir sa rente de veuve en faveur de ses enfants, sans qu’il ait été prévu que ceux-ci la remboursent. Il est ainsi établi qu’elle a fait donation de ses rentes à ses enfants, ce qui constitue un acte de dessaisissement de fortune au sens de l’art. 11 al. 1 let. g LPC. Les enfants n’ont fourni aucune contre-prestation équivalente. L’assurée n’avait pas non plus l’obligation de leur verser cette rente.</w:t>
      </w:r>
    </w:p>
    <w:p>
      <w:r>
        <w:rPr>
          <w:b/>
        </w:rPr>
        <w:t>E. 20</w:t>
      </w:r>
    </w:p>
    <w:p>
      <w:r>
        <w:t>Il est vrai que le dessaisissement suppose que l’intéressé ait la capacité de discernement s’agissant de la diminution de sa fortune. Il ne ressort pas du dossier que l’état de santé de l’assurée ait été de nature à diminuer sa capacité de discernement. Certes est-il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(SPIRA, Transmission de patrimoine et dessaisissement au sens de la loi fédérale sur les prestations complémentaires à l'AVS/AI [LPC], RSAS 1996, p. 212-213).</w:t>
      </w:r>
    </w:p>
    <w:p>
      <w:r>
        <w:rPr>
          <w:b/>
        </w:rPr>
        <w:t>E. 21</w:t>
      </w:r>
    </w:p>
    <w:p>
      <w:r>
        <w:t>L’assurée n’a pas fait valoir l’application de l’art. 328 CC, aux termes duquel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étant précisé que le débiteur de l'obligation alimentaire doit vivre dans « l'aisance ».</w:t>
      </w:r>
    </w:p>
    <w:p>
      <w:r>
        <w:rPr>
          <w:b/>
        </w:rPr>
        <w:t>E. 22</w:t>
      </w:r>
    </w:p>
    <w:p>
      <w:r>
        <w:t>L’assurée n’allègue pas non plus qu’elle avait l’obligation morale d’aider ses enfants, de sorte qu’il est inutile, vu la jurisprudence y relative, d’examiner cette question (arrêt du Tribunal fédéral 9C_846/2010 ; ATF 131 V 329 ; ATF 120 V 187).</w:t>
      </w:r>
    </w:p>
    <w:p>
      <w:r>
        <w:rPr>
          <w:b/>
        </w:rPr>
        <w:t>E. 23</w:t>
      </w:r>
    </w:p>
    <w:p>
      <w:r>
        <w:t>Aussi le recours est-il rejeté.</w:t>
      </w:r>
    </w:p>
    <w:p>
      <w:r>
        <w:t>A/3866/2018 - 14/14 -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