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ATAS/477/2017 vom 12. Juni 2017</w:t>
      </w:r>
    </w:p>
    <w:p>
      <w:r>
        <w:t>GE Cour de justice, 2017-06-12, FR</w:t>
      </w:r>
    </w:p>
    <w:p>
      <w:r>
        <w:rPr>
          <w:b/>
        </w:rPr>
        <w:t xml:space="preserve">Quelle: </w:t>
      </w:r>
      <w:r>
        <w:t>https://mcp.opencaselaw.ch/entscheid/ge_gerichte_ATAS_477_2017</w:t>
      </w:r>
    </w:p>
    <w:p>
      <w:r>
        <w:t>FR: GE_GERICHTE ATAS/477/2017 du 12 juin 2017</w:t>
      </w:r>
    </w:p>
    <w:p>
      <w:r>
        <w:t>IT: GE_GERICHTE ATAS/477/2017 del 12 giugno 2017</w:t>
      </w:r>
    </w:p>
    <w:p>
      <w:pPr>
        <w:pStyle w:val="Heading2"/>
      </w:pPr>
      <w:r>
        <w:t>Erwägungen</w:t>
      </w:r>
    </w:p>
    <w:p>
      <w:r>
        <w:rPr>
          <w:b/>
        </w:rPr>
        <w:t>E. 14</w:t>
      </w:r>
    </w:p>
    <w:p>
      <w:r>
        <w:t>Dans un avis du 23 septembre 2016, le SMR a constaté que le Dr H______ avait confirmé que l’aggravation de l’état de santé de l’assuré n’avait été que temporaire, soit pendant six mois depuis la fracture de la jambe, de sorte qu’il n’y avait pas eu une aggravation justifiant une incapacité de travail durable depuis la dernière décision de 2011. Puis, le 5 octobre 2016, le SMR a considéré que l’évaluation à 50 % de la capacité de travail dans une activité adaptée était une interprétation différente d’un même état de fait, en l’absence d’une modification de l’état de santé depuis la dernière décision de 2011. Par conséquent, les conclusions de 2011 retenant une capacité de travail nulle dans toute activité restaient valides.</w:t>
      </w:r>
    </w:p>
    <w:p>
      <w:r>
        <w:rPr>
          <w:b/>
        </w:rPr>
        <w:t>E. 15</w:t>
      </w:r>
    </w:p>
    <w:p>
      <w:r>
        <w:t>Par projet de décision du 27 octobre 2016, l’OAI a rejeté la demande au motif que l’aggravation de l’état de santé de l’assuré n’avait pas entraîné une incapacité de travail durable, mais seulement une incapacité de travail temporaire du</w:t>
      </w:r>
    </w:p>
    <w:p>
      <w:r>
        <w:rPr>
          <w:b/>
        </w:rPr>
        <w:t>E. 19</w:t>
      </w:r>
    </w:p>
    <w:p>
      <w:r>
        <w:t>Dans un avis du 19 décembre 2016, le SMR a observé que les explications données par les experts le 20 juin 2016, établissaient que seule l’aggravation des atteintes neurologiques entraînait une incapacité de travail. Par ailleurs, une fracture de la diaphyse osseuse n’entraînait que très peu de complications et ne justifiait pas de limitations à long terme. Par conséquent, il fallait retenir que seules les atteintes anciennes avaient aggravé la situation de l’assuré.</w:t>
      </w:r>
    </w:p>
    <w:p>
      <w:r>
        <w:rPr>
          <w:b/>
        </w:rPr>
        <w:t>E. 20</w:t>
      </w:r>
    </w:p>
    <w:p>
      <w:r>
        <w:t>Par décision du 19 janvier 2017, l’OAI a refusé l’octroi de l’assistance juridique. Il a considéré qu’au vu des rapports médicaux, les griefs qui pourraient entrer en ligne de compte ne présentaient pas un degré de complexité que seul un mandataire ayant la qualité d’avocat pourrait soulever. La compréhension des enjeux dans le cadre de la procédure d’audition n’était pas insurmontable et ne nécessitait pas de connaissances juridiques particulières. En effet, les éléments qui pouvaient être soulevés avaient trait aux conséquences de l’atteinte à la santé, de sorte que l’assuré était à même de pouvoir les contester en personne. Il n’y avait pas de questions de droit ou de fait difficiles rendant l’assistance d’un avocat apparemment nécessaire. En outre, l’assuré pouvait faire appel à l’aide de représentants d’associations, d’assistants sociaux et de ses médecins traitants. Les objections qui pourraient être soulevées à l’encontre du projet de décision paraissaient dénuées de chances de succès. Bien que la situation financière de l’assuré pût paraître précaire, cette dernière condition ne suffisait pas à elle seule à justifier l’octroi de l’assistance juridique gratuite.</w:t>
      </w:r>
    </w:p>
    <w:p>
      <w:r>
        <w:rPr>
          <w:b/>
        </w:rPr>
        <w:t>E. 21</w:t>
      </w:r>
    </w:p>
    <w:p>
      <w:r>
        <w:t>Par décision du 23 janvier 2017, l’OAI a confirmé son projet de décision. Il a considéré que la nouvelle atteinte survenue en 2011, justifiant un nouveau cas d’assurance, n’avait entraîné qu’une incapacité de travail de 100 % non durable. Quant à la capacité de travail de 50 % retenue d’un point de vue somatique, elle résultait d’une aggravation de l’atteinte principale préexistante.</w:t>
      </w:r>
    </w:p>
    <w:p>
      <w:r>
        <w:rPr>
          <w:b/>
        </w:rPr>
        <w:t>E. 22</w:t>
      </w:r>
    </w:p>
    <w:p>
      <w:r>
        <w:t>Par acte du 20 février 2017, l’assuré par le biais de son mandataire a formé recours contre la décision du 19 janvier 2017. Il a conclu préalablement à ce que l’intimé soit interrogé sur la saisine du service juridique pour l’assister dans la rédaction de la décision du 23 janvier 2017, puis en cas de réponse affirmative, à ce qu’il soit ordonné la production du mandat du gestionnaire et de l’avis rendu par le service juridique. Au fond, il a conclu, sous suite de frais et dépens, à l’octroi de</w:t>
      </w:r>
    </w:p>
    <w:p>
      <w:r>
        <w:t>A/581/2017 - 7/15 - l’assistance juridique. Il a contesté que la condition de complexité ne fût pas donnée dès lors que la problématique soulevée par le nouveau cas d’assurance nécessitait une analyse approfondie des divers avis médicaux, ainsi qu’une distinction claire des pathologies et des répercussions sur la capacité de travail. Au vu de cette notion médico-juridique complexe qu’il ne maîtrisait pas, son mandataire avait dû identifier la nouvelle pathologie et analyser rétrospectivement si elle était en lien avec la poliomyélite qui avait fondé le refus des précédentes demandes et si elle pouvait engendrer une incapacité de travail durable de 40 % au moins. Dans le cadre de la procédure d’opposition, lorsque les questions étaient complexes, le gestionnaire de l’intimé interrogeait fréquemment le service juridique en rédigeant un mandat et ce dernier lui répondait par écrit. Pour des raisons inconnues, l’intimé refusait de lui donner accès à ses notes juridiques.</w:t>
      </w:r>
    </w:p>
    <w:p>
      <w:r>
        <w:rPr>
          <w:b/>
        </w:rPr>
        <w:t>E. 23</w:t>
      </w:r>
    </w:p>
    <w:p>
      <w:r>
        <w:t>Dans sa réponse du 27 mars 2017, l’intimé a conclu au rejet du recours. Il a relevé que l’ASP lui avait communiqué par courrier du 9 novembre 2016 le mandat que le recourant lui avait conféré pour la défense de ses intérêts. Il apparaissait ainsi que le recourant pouvait bénéficier par le biais de l’ASP d’un soutien professionnel parfaitement à même de le conseiller utilement sans avoir recours à un avocat. S’agissant de la complexité de l’état de fait et des questions juridiques, l’intimé a observé que la question décisive n’était pas celle de la survenance d’un nouveau cas d’assurance, mais celle d’une atteinte à la santé de longue durée documentée par les divers rapports médicaux, soit une question élémentaire du droit de l’assurance- invalidité ne présentant aucune complexité. A ce sujet, le fait que le mandat d’attribution ait pu être attribué à un juriste concernait une simple répartition de la charge de travail relevant de l’organisation interne qui ne renseignait en rien sur la complexité des questions juridiques. Par ailleurs, au vu des conclusions de l’expertise pluridisciplinaire qui devait être considérée comme probante et retenait une incapacité de travail entière pour une durée de six mois, la condition des chances de succès n’était pas davantage remplie. La requête en production de l’avis rendu par le service juridique dans le cadre de la procédure d’audition n’avait aucun fondement, ni pertinence pour l’examen des conditions d’octroi de l’assistance juridique. Il s’agissait d’une note interne formalisant l’opinion du service juridique à l’attention du gestionnaire chargé de rendre la décision et ne représentait qu’une étape préparatoire à la prise de position formelle. Par conséquent, elle ne faisait pas partie des documents accessibles au recourant. L’intimé a produit dans la procédure sa prise de position du 23 mars 2017 suite au courrier que le préposé cantonal à la protection des données et à la transparence lui a adressé le 23 février 2017. Dans cette prise de position, l’intimé indique que le gestionnaire chargé d’établir la décision au fond a consulté le service juridique conformément à la règle ayant cours en cas d’intervention d’un avocat après le projet de décision.</w:t>
      </w:r>
    </w:p>
    <w:p>
      <w:r>
        <w:rPr>
          <w:b/>
        </w:rPr>
        <w:t>E. 24</w:t>
      </w:r>
    </w:p>
    <w:p>
      <w:r>
        <w:t>Par réplique du 30 mars 2017, le recourant a précisé que les cinq spécialistes de l’ASP chargés de donner des renseignements juridiques étaient tous avocats. Par</w:t>
      </w:r>
    </w:p>
    <w:p>
      <w:r>
        <w:t>A/581/2017 - 8/15 - conséquent, l’intimé considérait de façon contradictoire que les questions de fait et de droit ne nécessitaient pas le recours à un avocat tout en l’invitant à s’adresser à des avocats. S’agissant de la survenance d’un nouveau cas d’assurance, le recourant a allégué qu’avant l’accident du 19 septembre 2011, il présentait une pleine capacité de travail et qu’après le 19 mars 2012, une incapacité de 50 % persistait ce qui établissait que l’incapacité de travail avait duré plus de six mois. Il a contesté que les notes du service juridique de l’intimé fussent des notes internes dès lors qu’elles servaient de fondement juridique au gestionnaire chargé de rendre la décision finale. En agissant de cette façon, l’intimé violait son droit d’être entendu sous l’angle du droit d’accès au dossier. Le recourant s’est également référé à l’ATAS/844/2013 dans lequel, la chambre de céans a considéré que l’assistance d’un avocat est nécessaire au vu de la complexité du cas dès lors que le gestionnaire n’avait pas pu trancher la question des conditions d’assurance sans avoir recours à son service juridique. Il a persisté intégralement dans ses conclusions.</w:t>
      </w:r>
    </w:p>
    <w:p>
      <w:r>
        <w:rPr>
          <w:b/>
        </w:rPr>
        <w:t>E. 25</w:t>
      </w:r>
    </w:p>
    <w:p>
      <w:r>
        <w:t>Le 31 mars 2017, la chambre de céans a transmis cette écriture à l’intimé et sur quoi a gardé la cause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trente jours (art. 60 al. 1 LPGA et art. 62 al. 1 let. a de la loi sur la procédure administrative du 12 septembre 1985 [LPA-GE - E 5 10]). D'après l'art. 62 LPA-GE, le délai de recours court dès le lendemain de la notification de la décision (al. 3). Lorsque le délai échoit un samedi, un dimanche ou un jour férié selon le droit fédéral ou cantonal, son terme est reporté au premier jour ouvrable qui suit (art. 38 al. 3, 1ère phrase LPGA applicable par renvoi de l’art. 60 al. 2 LPGA; cf. également art. 17 al. 3 LPA-GE).</w:t>
      </w:r>
    </w:p>
    <w:p>
      <w:r>
        <w:t>A/581/2017 - 9/15 - La décision du 19 janvier 2017 envoyée par pli recommandé du même jour a été reçue le lendemain, de sorte que le délai de recours a commencé à courir le 21 janvier 2017 et est arrivé à échéance le 20 février 2017, compte tenu des principes susmentionnés. Interjeté dans la forme et le délai prévus par la loi, le recours est ainsi recevable (art. 56 ss LPGA et 62 ss LPA-GE). 3. Est litigieux le droit du recourant à l'assistance juridique à partir du 28 novembre 2016, dans le cadre de la procédure d’audition faisant suite au projet du 27 octobre 2016 par lequel l’intimé a rejeté la nouvelle demande. 4.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5.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w:t>
      </w:r>
    </w:p>
    <w:p>
      <w:r>
        <w:t>A/581/2017 - 10/15 -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6.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w:t>
      </w:r>
    </w:p>
    <w:p>
      <w:r>
        <w:t>A/581/2017 - 11/15 -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 7.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sollicite l'assistance juridique dans le cadre du projet de refus de prestations du 27 octobre 2016 faisant suite à une nouvelle demande, à un rapport d’expertise médicale pluridisciplinaire (rhumatologique, neurologique et psychiatrique) daté du 2 février 2016 et à un rapport complémentaire des experts du 20 juin 2016 requis par le seul SMR afin de clarifier des imprécisions. Le recourant conteste que son incapacité de travail durable de 50 % depuis la date de l’accident soit en lien avec les atteintes à la santé ayant fait l’objet des décisions entrées en force et considère qu’il s’agit d’un nouveau cas d’assurance.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gain raisonnablement exigible du recourant après expertise pluridisciplinaire, d'un point de vue objectif, pose des difficultés telles que le recours à un avocat se justifie.</w:t>
      </w:r>
    </w:p>
    <w:p>
      <w:r>
        <w:t>A/581/2017 - 12/15 - Sur le plan médical, se posent les questions de l’évolution de l’état de santé du recourant et la détermination de sa capacité de travail dans une activité adaptée depuis la décision du 9 octobre 2007 concernant les troubles physiques et celle du 13 juillet 2011 relative aux troubles psychiques. Contrairement à ce que soutient l’intimé, l’état de fait est complexe sur le plan médical puisque s’intriquent sur le plan physique les séquelles d’une maladie survenue à l’âge de neuf mois, à savoir une poliomyélite accompagnée de paraparésie sévère amyotrophiante, de parésie du tronc inférieur, ainsi que de scoliose dorso-lombaire et de dorsolombalgies, et sur le plan psychique un trouble dépressif récurrent, ainsi qu’une personnalité émotionnellement labile type borderline. Le rapport d’expertise de la CRR du 2 février 2016 et le complément du 20 juin 2016 retiennent une capacité de travail nulle dans toute activité depuis l’accident du 19 septembre 2011 et jusqu’au 19 mars 2012, ainsi qu’une capacité de travail de 50 % dans une activité adaptée depuis le 20 mars 2012, soit six mois après l’accident, en raison d’une limitation fonctionnelle supplémentaire par rapport aux évaluations antérieures du SMR en lien tant avec l’atteinte neurologique connue et séquellaire de la poliomyélite qu’avec une période d’immobilisation due à la consolidation de la fracture de la jambe gauche. La complexité de l’état de fait sur le plan médical a par ailleurs été reconnue par le SMR dans son avis du 26 mai 2014 dans lequel il requiert une expertise pluridisciplinaire au regard de la complexité du dossier. Par conséquent, sur le plan juridique est litigieuse la question de savoir si l’incapacité de travail de 50 % dans une activité adaptée constitue un nouveau cas d’assurance, soit une question complexe sur le plan juridique qui ne se limite pas à examiner la causalité matérielle avec la situation de fait prévalant au moment du refus des demandes antérieures de prestations. En effet, le principe de la notion générale et unique de la survenance de l'invalidité n’est pas absolu.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(ATFA 1966 p. 175 consid. 4; arrêt du Tribunal fédéral 9C_36/2015 du 29 avril 2015 consid. 5.1). Etant donné que la question du nouveau cas d’assurance repose sur des développements jurisprudentiels, il faut admettre qu’à côté de la relative difficulté du cas, sa complexité sur le plan juridique rend nécessaire l’assistance par un avocat. S’agissant des chances de succès de l’opposition du recourant au projet de décision, contrairement à ce que soutient l’intimé, elles ne peuvent pas être déniée dès lors que la démarche pose des questions complexes et que son issue apparaît incertaine (cf. ATF 124 I 304 consid. 4b). En effet, dans son projet de décision du 27 octobre 2016, l’intimé se borne à affirmer que l’état de fait est identique à celui existant lors de la décision du 13 juillet 2011, alors que cette dernière retenait une incapacité de travail durable de 100 % dans toute activité en lien avec les troubles psychiques et non pas avec les troubles physiques comme c’est le cas depuis l’accident du</w:t>
      </w:r>
    </w:p>
    <w:p>
      <w:r>
        <w:t>A/581/2017 - 13/15 - 19 septembre 2011. Dans sa décision du 23 janvier 2017, l’intimé considère qu’il y a bien un nouveau cas d’assurance mais qu’il n’entraîne pas une incapacité de travail durable, celle-ci résultant d’une aggravation de l’atteinte principale préexistante. Or, l’intimé n’examine à aucun moment si le principe de l'unicité de l’invalidité cesse d'être applicable au regard de la jurisprudence susmentionnée. Au surplus, les parties s’accordent sur l’indigence du recourant. 8. L’intimé soutient encore que le recourant pourrait être assisté par l’ASP. Selon les informations figurant sur le site Internet de celle-ci (http://www.spv.ch/ fr/que_faisons-nous/institut_de_conseils_juridiques), ses conseils juridiques sont accordés gratuitement et personnellement aux membres actifs ayant un handicap lié à une lésion médullaire, soit une paralysie médullaire. En l’occurrence, le recourant ne souffre pas d’une paralysie médullaire, mais d’une paraparésie sévère amyotrophiante et d’une parésie du tronc inférieur. Aussi, bien qu’on ne sache pas si le recourant est membre de l’ASP, cette question peut rester ouverte. En effet, en l’absence d’une paralysie médullaire, il ne peut pas bénéficier gratuitement des conseils juridiques de l’ASP et quoi qu’il en soit, si les conditions permettant de lui reconnaitre le droit à l’assistance juridique sont réalisées, il peut choisir librement son mandataire. En définitive, la difficulté relative du cas, ainsi que la complexité de l'état de fait et des questions de droit nécessitent l’assistance d’un avocat déjà au stade de la procédure d’instruction de la demande de prestations. En effet, le recourant n'est pas apte à y faire face seul ou avec l’aide d’un assistant social ou de son médecin traitant car ceux-ci ne disposent pas des connaissances juridiques requises pour vérifier que l’administration établisse le degré d’invalidité en conformité avec la jurisprudence. Aussi, on se trouve en présence de circonstances exceptionnelles rendant objectivement nécessaire l'assistance d'un avocat durant la procédure administrative. Etant donné que toutes les conditions cumulatives requises pour l’octroi de l’assistance juridique sont réalisées, celle-ci doit être accordée au recourant. 9. Le recourant invoque une violation de son droit d’être entendu et demande également que la chambre de céans ordonne la production de la notice du service juridique ayant servi de base à la décision sur le fond.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w:t>
      </w:r>
    </w:p>
    <w:p>
      <w:r>
        <w:t>A/581/2017 - 14/15 - celui d'avoir accès au dossier, celui de participer à l'administration des preuves, d'en prendre connaissance et de se déterminer à leur propos (ATF 132 V 368 consid. 3.1 et les références).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b) En l’espèce, on peut se demander pourquoi les notes du service juridique ne seraient pas accessibles au recourant au contraire de celles du SMR, puisque dans les deux cas elles éclairent le gestionnaire chargé d’établir la décision sur les éléments juridiques ou médicaux dont il a besoin pour statuer en pleine connaissance de cause. Toutefois cette question peut rester ouverte dès lors que la violation du droit d’être entendu invoquée porte sur un élément du dossier destiné à établir la complexité du cas sur le plan juridique, complexité qui, quoi qu’il en soit, est admise par la chambre de céans. Pour les mêmes raisons, et par appréciation anticipée des preuves, il n’y a pas lieu de faire droit à la demande de production de ladite notice. 10. Au vu de ce qui précède, le recours sera admis et la décision du 19 janvier 2017 sera annulée. Le recourant étant représentée par un avocat et obtenant gain de cause, une indemnité de CHF 2’000.-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A/581/2017 - 15/15 -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