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ATAS/477/2015 vom 23. Juni 2015</w:t>
      </w:r>
    </w:p>
    <w:p>
      <w:r>
        <w:t>GE Cour de justice, 2015-06-23, FR</w:t>
      </w:r>
    </w:p>
    <w:p>
      <w:r>
        <w:rPr>
          <w:b/>
        </w:rPr>
        <w:t xml:space="preserve">Quelle: </w:t>
      </w:r>
      <w:r>
        <w:t>https://mcp.opencaselaw.ch/entscheid/ge_gerichte_ATAS_477_2015</w:t>
      </w:r>
    </w:p>
    <w:p>
      <w:r>
        <w:t>FR: GE_GERICHTE ATAS/477/2015 du 23 juin 2015</w:t>
      </w:r>
    </w:p>
    <w:p>
      <w:r>
        <w:t>IT: GE_GERICHTE ATAS/477/2015 del 23 giugno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t>A/840/2015 - 4/8 -</w:t>
      </w:r>
    </w:p>
    <w:p>
      <w:r>
        <w:rPr>
          <w:b/>
        </w:rPr>
        <w:t>E. 3</w:t>
      </w:r>
    </w:p>
    <w:p>
      <w:r>
        <w:t>Le litige porte sur le droit de l’OCE de prononcer à l’encontre de l’assurée une suspension d’une durée de 15 jours, au motif qu’elle n’a pas effectué de recherches d’emplois entre le 1er et le 14 octobre 2014.</w:t>
      </w:r>
    </w:p>
    <w:p>
      <w:r>
        <w:rPr>
          <w:b/>
        </w:rPr>
        <w:t>E. 4</w:t>
      </w:r>
    </w:p>
    <w:p>
      <w:r>
        <w:t>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réduire le dommage consacrée par l’art. 17 al. 1er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ATFA non publiés C 144/05 du 1er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w:t>
      </w:r>
    </w:p>
    <w:p>
      <w:r>
        <w:t>A/840/2015 - 5/8 -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La suppression de l’obligation de rechercher un emploi a en revanche été admise en cas d’incapacité de travail due à une maladie ou à un accident (SECO, Bulletin LACI – IC, janvier 2013, B320).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A/840/2015 - 6/8 -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n’est pas contesté que l’assurée n’a effectué aucune recherche d’emploi pour octobre 2014. Elle allègue cependant que son état de santé ne le lui a pas permis. Elle produit pour preuve plusieurs documents médicaux, soit : - deux certificats du Dr C______ datés des 15 décembre 2014 et 3 mai 2015, aux termes desquels elle était incapable de travailler à 100% du 4 décembre 2014 au</w:t>
      </w:r>
    </w:p>
    <w:p>
      <w:r>
        <w:rPr>
          <w:b/>
        </w:rPr>
        <w:t>E. 12</w:t>
      </w:r>
    </w:p>
    <w:p>
      <w:r>
        <w:t>mars 2015. - trois certificats du Dr B______, des 15 octobre et 15 novembre 2014 et du 9 mai 2015. Les deux premiers attestent d’une incapacité de travail à 100% du 15 octobre au 15 décembre 2014. Le troisième indique que l’assurée avait souffert en octobre et novembre 2014 d’un état anxio-dépressif sévère « la mettant dans l’incapacité d’effectuer une recherche d’emploi ». 8. S’agissant du Dr C______, force est de constater que ses constatations portent sur une période postérieure au 4 décembre 2014 et ne sauraient dès lors être prises en considération pour déterminer si l’assurée était empêchée d’effectuer ses recherches d’emploi entre le 1er et le 14 octobre 2014. S’agissant du Dr B______, la chambre de céans peine à comprendre pour quelle raison il a établi un premier certificat avec une incapacité de travail depuis le 15 octobre 2014 précisément, puis un troisième, plusieurs mois après, avec une incapacité de travail « en octobre et novembre 2014 ». Le premier certificat ayant été établi le 15 octobre 2014, il est vraisemblable que l’assurée n’est venue le consulter pour la première fois que ce jour-là. Il y a également lieu de relever que le diagnostic retenu par le médecin d’état anxio-dépressif sévère ne correspond de loin pas au tableau décrit par le Dr C______. La valeur probante du dernier certificat paraît de ce fait quelque peu douteuse. Force est de constater que l'attestation du 15 décembre 2014 ne couvre pas la première quinzaine d’octobre 2014, de sorte qu’on peut exiger de l'assurée, eu égard à l'obligation générale de réduire le dommage, qu'elle présente des offres d'emploi pour cette période (C 75/06 du 2 avril 2007). 9. L’OCE était ainsi fondé à prononcer une sanction. 10. Il y a lieu de rappeler que le comportement général de l’assuré doit être pris en considération. Or, il s’avère qu’elle s’est déjà vu infliger deux suspensions de 5 et de 9 jours en août 2014 pour absence à un entretien et pour remise tardive des recherches d’emploi, alors qu’il n’est pas allégué que son état de santé lui posait problème.</w:t>
      </w:r>
    </w:p>
    <w:p>
      <w:r>
        <w:t>A/840/2015 - 7/8 - La quotité de la sanction, à savoir 15 jours de suspension, tient, notamment, compte de la faute commise et du fait qu'il s'agit du quatrième manquement retenu à l'encontre de l'assurée. Il n'apparaît pas que l'autorité intimée aurait excédé son pouvoir d'appréciation, la sanction prononcée demeurant proportionnée au manquement reproché à l’assurée. 11. Aussi le recours est-il rejeté.</w:t>
      </w:r>
    </w:p>
    <w:p>
      <w:r>
        <w:t>A/840/2015 - 8/8 -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