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ATAS/477/2011 vom 11. Mai 2011</w:t>
      </w:r>
    </w:p>
    <w:p>
      <w:r>
        <w:t>GE Cour de justice, 2011-05-11, FR</w:t>
      </w:r>
    </w:p>
    <w:p>
      <w:r>
        <w:rPr>
          <w:b/>
        </w:rPr>
        <w:t xml:space="preserve">Quelle: </w:t>
      </w:r>
      <w:r>
        <w:t>https://mcp.opencaselaw.ch/entscheid/ge_gerichte_ATAS_477_2011</w:t>
      </w:r>
    </w:p>
    <w:p>
      <w:r>
        <w:t>FR: GE_GERICHTE ATAS/477/2011 du 11 mai 2011</w:t>
      </w:r>
    </w:p>
    <w:p>
      <w:r>
        <w:t>IT: GE_GERICHTE ATAS/477/2011 del 11 maggio 2011</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w:t>
      </w:r>
    </w:p>
    <w:p>
      <w:r>
        <w:rPr>
          <w:b/>
        </w:rPr>
        <w:t>E. 2</w:t>
      </w:r>
    </w:p>
    <w:p>
      <w:r>
        <w:t>Interjeté dans les délai et forme prévus par la loi, le recours est recevable (art. 56 ss LPGA).</w:t>
      </w:r>
    </w:p>
    <w:p>
      <w:r>
        <w:rPr>
          <w:b/>
        </w:rPr>
        <w:t>E. 3</w:t>
      </w:r>
    </w:p>
    <w:p>
      <w:r>
        <w:t>Est litigieuse en l’espèce la question de savoir si l’intimée a repris à raison pour l’année 2006 un montant de 51'348 fr. à titre de salaires déterminants pour le calcul des cotisations paritaires.</w:t>
      </w:r>
    </w:p>
    <w:p>
      <w:r>
        <w:t>A/425/2010 - 7/10 -</w:t>
      </w:r>
    </w:p>
    <w:p>
      <w:r>
        <w:rPr>
          <w:b/>
        </w:rPr>
        <w:t>E. 4</w:t>
      </w:r>
    </w:p>
    <w:p>
      <w:r>
        <w:t>Aux termes de l’art. 5 al. 2 LAVS, le salaire déterminant pour le calcul des cotisations paritaires comprend toute rémunération pour un travail dépendant.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7 let. p du règlement sur l'assurance-vieillesse et survivants, du 31 octobre 1947 (RAVS ; RS 831.101), précise que le salaire déterminant pour le calcul des cotisations comprend également les prestations de l’employeur consistant à prendre en charge la cotisation due par le salarié à l’assurance-vieillesse, survivants et invalidité, au régime des allocations pour perte de gain et à l’assurance chômage et les impôts dus par le salarié. Sont exceptées les cotisations dues par le salarié sur les prestations spéciales uniques qui ne dépassent pas un salaire mensuel brut par année civile, ainsi que celles qui sont dues sur les revenus en nature et les salaires globaux.</w:t>
      </w:r>
    </w:p>
    <w:p>
      <w:r>
        <w:rPr>
          <w:b/>
        </w:rPr>
        <w:t>E. 5</w:t>
      </w:r>
    </w:p>
    <w:p>
      <w:r>
        <w:t>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 Cependant,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w:t>
      </w:r>
    </w:p>
    <w:p>
      <w:r>
        <w:t>A/425/2010 - 8/10 -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6</w:t>
      </w:r>
    </w:p>
    <w:p>
      <w:r>
        <w:t>En l’occurrence, l’intimée s’est fondée sur l’extrait de compte de la recourante concernant l’année 2006 pour admettre que cette dernière a payé, en plus des salaires pour ses employés, l’impôt à la source d’un montant de 51'348 fr., après remboursement du trop payé à ce titre en 2006 de 10'370 fr. 80. La recourante fait cependant valoir qu’il s’agissait d’une simple écriture d’ajustement comptable, due à une anomalie du logiciel de gestion des salaires qui générait des montants incorrects, sans pouvoir le prouver. Il ressort du dossier que la recourante a déclaré en 2006 des salaires payés dans le canton de Genève d’un montant de 828'437 fr. Cependant, du compte salaire n°4000, résulte un montant de 525'260 fr., après déduction d’une provision de 30'000 fr., et du compte commission Genève en 2006, un montant de 384'234 fr. 20, dont il faut déduire, selon l’intimée, une erreur de comptabilisation d’un montant de 11'046 fr. et une provision d’un montant de 10'000 fr. Ainsi, le montant total des salaires et commissions payés en 2006 s’élève à 888'448 fr. Il convient par ailleurs de relever que selon le compte salaire n° 2050, les salaires payés à Genève s’élevaient à 889'400 fr. 25, en tenant compte de l’ajustement salaire et impôt à la source de 43'908 fr. 35. Par ailleurs, dans le compte de pertes et profits pour 2006, les chiffres figurant dans le compte salaire n° 4000 concernant Genève et dans le compte commission n° 4020 sont repris tels quels. Dans le bilan de la recourante pour 2006, figure le bénéfice résultant du compte de pertes et profits. Cependant, dans ses écritures du 6 mai 2010, l’intimée admet que les décomptes d’impôt à la source 2006 semblent être conformes avec les retenus comptabilisées dans le compte de passage salaire n° 2050 et le compte créancier, de sorte que les ajustements comptables selon les pièces MR10 et MR11 du 31 décembre 2006 ne sont pas justifiés. Lors de son contrôle, l'intimée a en outre eu accès aux fiches de salaires, ainsi qu'aux décomptes d'impôts à la source et n'a apparemment constaté aucune anomalie entre celles-ci et les décomptes qui lui ont été fournis. Selon le rapport d'expertise de l'inspectorat fiscal du Valais du 1er mars 2010, il aurait appartenu au président de la société recourante de rétrocéder à celle-ci le montant de 46'721 fr. qu'il a facturé à X__________ Sàrl. Cette somme constitue ainsi un bénéfice de la société. L'inspectorat a par conséquent procédé à une reprise de recettes de ce montant. L'intimée interprète ce rapport apparemment de façon différente, en alléguant que les rémunérations touchées par le président de la recourante auraient dû être considérées comme du salaire versé par cette dernière.</w:t>
      </w:r>
    </w:p>
    <w:p>
      <w:r>
        <w:t>A/425/2010 - 9/10 - Cependant, cela est inexact, dès lors que, dans cette hypothèse, cela aurait augmenté les charges de la société et donc diminué le bénéfice. Or, le contrôleur fiscal a au contraire fait une reprise sur les recettes de la recourante et donc augmenté son bénéfice. Néanmoins, ce rapport d'expertise n'est d'aucun secours, dans la mesure où il ne donne aucune indication sur l'exactitude des salaires et commissions, tels qu'ils figurent dans les pièces comptables, à savoir les charges. Cela étant, il convient de constater que la recourante n'a pas réussi à démontrer que la somme de 889'400 fr. 25 résultant de ses comptes résulte d'une erreur du logiciel de comptabilité et que les salaires réellement payés ne s'élevait qu'à 828'437 fr. comme elle les a déclarés à l'intimée. Conformément à ce qui a été exposé ci- dessus, la recourante supporte dès lors le fardeau de cette absence de preuve. Ainsi, il y a lieu de considéré que l'intimé a procédé à raison d’une reprise de 51'348 fr.</w:t>
      </w:r>
    </w:p>
    <w:p>
      <w:r>
        <w:rPr>
          <w:b/>
        </w:rPr>
        <w:t>E. 7</w:t>
      </w:r>
    </w:p>
    <w:p>
      <w:r>
        <w:t>Le recours sera donc rejeté et la décision annulée.</w:t>
      </w:r>
    </w:p>
    <w:p>
      <w:r>
        <w:rPr>
          <w:b/>
        </w:rPr>
        <w:t>E. 8</w:t>
      </w:r>
    </w:p>
    <w:p>
      <w:r>
        <w:t>La procédure est gratuite.</w:t>
      </w:r>
    </w:p>
    <w:p>
      <w:r>
        <w:t>A/425/2010 - 10/10 -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