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ATAS/476/2016 vom 20. Juni 2016</w:t>
      </w:r>
    </w:p>
    <w:p>
      <w:r>
        <w:t>GE Cour de justice, 2016-06-20, FR</w:t>
      </w:r>
    </w:p>
    <w:p>
      <w:r>
        <w:rPr>
          <w:b/>
        </w:rPr>
        <w:t xml:space="preserve">Quelle: </w:t>
      </w:r>
      <w:r>
        <w:t>https://mcp.opencaselaw.ch/entscheid/ge_gerichte_ATAS_476_2016</w:t>
      </w:r>
    </w:p>
    <w:p>
      <w:r>
        <w:t>FR: GE_GERICHTE ATAS/476/2016 du 20 juin 2016</w:t>
      </w:r>
    </w:p>
    <w:p>
      <w:r>
        <w:t>IT: GE_GERICHTE ATAS/476/2016 del 20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a été déposé dans les délai et forme prévus par la loi (art. 56ss LPGA).</w:t>
      </w:r>
    </w:p>
    <w:p>
      <w:r>
        <w:rPr>
          <w:b/>
        </w:rPr>
        <w:t>E. 4</w:t>
      </w:r>
    </w:p>
    <w:p>
      <w:r>
        <w:t>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 l’espèce, la décision sur opposition circonscrit l’objet de la contestation au seul droit à la rente du recourant, et ce dernier ne prend pas de conclusions portant sur d’autres prestations dans son recours. Ainsi, conformément à la jurisprudence précitée, l’objet du litige se limite au taux d’invalidité du recourant et à la rente qui en découle dès le 1er octobre 2013.</w:t>
      </w:r>
    </w:p>
    <w:p>
      <w:r>
        <w:rPr>
          <w:b/>
        </w:rPr>
        <w:t>E. 5</w:t>
      </w:r>
    </w:p>
    <w:p>
      <w:r>
        <w:t>L'assurance-accidents est en principe tenue d'allouer ses prestations en cas d'accident professionnel ou non professionnel en vertu de l’art. 6 al. 1 LAA. Par</w:t>
      </w:r>
    </w:p>
    <w:p>
      <w:r>
        <w:t>A/1590/2015 - 14/24 -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w:t>
      </w:r>
    </w:p>
    <w:p>
      <w:r>
        <w:t>A/1590/2015 - 15/24 -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7</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8</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w:t>
      </w:r>
    </w:p>
    <w:p>
      <w:r>
        <w:t>A/1590/2015 - 16/24 -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w:t>
      </w:r>
    </w:p>
    <w:p>
      <w:r>
        <w:rPr>
          <w:b/>
        </w:rPr>
        <w:t>E. 11</w:t>
      </w:r>
    </w:p>
    <w:p>
      <w:r>
        <w:t>Un justiciable a le droit de faire administrer des preuves essentielles en vertu de la garantie constitutionnelle du droit d'être entendu (ATF 127 V 431 consid. 3a), ce droit n'empêche cependant pas l'autorité de mettre un terme à l'instruction lorsque</w:t>
      </w:r>
    </w:p>
    <w:p>
      <w:r>
        <w:t>A/1590/2015 - 19/24 -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w:t>
      </w:r>
    </w:p>
    <w:p>
      <w:r>
        <w:rPr>
          <w:b/>
        </w:rPr>
        <w:t>E. 12</w:t>
      </w:r>
    </w:p>
    <w:p>
      <w:r>
        <w:t>En l’espèce, on relèvera en préambule que l’intimée s’est écartée de l’appréciation de l’invalidité à laquelle a procédé l’OAIE. Cependant, comme on l’a vu, l’assurance-invalidité est tenue de prendre en considération l’âge avancé d’un assuré. En revanche, en vertu de l’art. 28 al. 4 de l’ordonnance sur l'assurance- 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 Partant, le fait que l’intimée ne se soit pas ralliée à la décision de l’OAIE n’est pas critiquable, dès lors qu’elle n’a pas à prendre en considération l’âge du recourant dans son appréciation de l’invalidité. L’intimée a tenu compte dans son calcul du degré d’invalidité d’une capacité de travail totale du recourant dans une activité légère dans différents secteurs de l’industrie, à condition de ne pas trop mettre à contribution ses genoux. Cela correspond aux constatations des médecins de la CRR, qui ont exclu le port de charges, les positions contraignantes pour les genoux, les travaux sur des échelles et la station debout sur des terrains pentus. Le rapport des Drs U_______ et V_______ correspond aux réquisits jurisprudentiels en matière de force probante de rapports médicaux, dès lors qu’il a été établi en connaissance du dossier médical du</w:t>
      </w:r>
    </w:p>
    <w:p>
      <w:r>
        <w:t>A/1590/2015 - 20/24 - recourant, qu’il tient compte de ses antécédents, relate ses plaintes, que les médecins se fondent sur des examens médicaux poussés, complétés par des consultations auprès d’autres spécialistes et des examens radiologiques, et que leurs conclusions et diagnostics sont clairs, motivés et convaincants. Il n’existe de plus aucun rapport médical permettant de mettre en doute les conclusions des Drs U_______ et V_______. Elles correspondent, s’agissant de l’activité adaptée, aux conclusions des Drs O_______ et Y_______. Si l’on se réfère au rapport de consultation du Dr X_______, force est de constater que l’incapacité de gain totale que ce médecin mentionne n’est nullement motivée et ne se fonde pas sur des éléments médicaux objectifs, mais sur l’âge du recourant, qui n’est pas un facteur pertinent en assurance-accidents, comme on l’a vu. Quant au Dr P_______, il a attesté d’une incapacité de travail totale. Il n’a cependant pas motivé cette conclusion, et il ne s’est pas expressément prononcé sur la capacité de travail du recourant dans une activité adaptée. La Dresse M_______ a certes signalé une aggravation de la maladie articulaire en octobre 2014. Elle n’a cependant pas décrit en quoi consisterait cette aggravation, et les limitations fonctionnelles qu’elle a relevées dans son attestation du 4 mai 2015 se confondent largement avec celles émises par les médecins de la CRR, de sorte qu’on peut douter que l’aggravation alléguée modifie la capacité de gain retenue par l’intimée dans sa décision. Le fait que le recourant n’ait pas envisagé de reprise de travail depuis 2008, comme le note ce médecin, ne signifie pas qu’il n’en soit pas capable au plan médico-théorique. On notera en outre que le Dr Z_______, consulté en novembre 2014 par le recourant, a relevé des mobilités articulaires normales et indiqué que les documents radiologiques révélaient une gonarthrose débutante, ce qui correspond aux constatations des Drs U_______ et V_______ et tend donc à infirmer l’hypothèse d’une aggravation objective de l’atteinte du recourant, puisque l’arthrose n’a pas évolué depuis son séjour à la CRR. Quant aux éventuels troubles psychiques, il n’y a pas lieu d’en tenir compte, dès lors leur prise en charge n’incombe pas à l’intimée. En effet, le recourant a subi une chute en soi relativement anodine au guidon de son scooter, événement qui doit être classé dans la catégorie des accidents de peu de gravité. Partant, un lien de causalité entre les troubles psychiques et l’accident doit d’emblée être nié. Les arguments du recourant ne permettent pas de parvenir à une autre appréciation. S’agissant de l’absence de formation et du fait qu’il maîtriserait mal le français – affirmation qui n’est d’ailleurs corroborée par aucun intervenant – il faut rappeler que ni l'assurance-accidents, ni l'assurance militaire ou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 388/01 du 2 décembre 2002 consid. 2.2). Quant au fait que seules des activités mettant à contribution ses genoux seraient accessibles, il s’agit d’une allégation que le recourant n’étaye pas. Il convient au contraire d’admettre que les limitations</w:t>
      </w:r>
    </w:p>
    <w:p>
      <w:r>
        <w:t>A/1590/2015 - 21/24 - fonctionnelles du recourant ne sont pas telles qu’elles rendent impossible l’accès au marché du travail, qui comprend un éventail suffisamment large d’activités sédentaires accessibles sans formation. Le recourant affirme que l’intimée n’aurait pas tenu compte de ses limitations réelles. Il ne peut être suivi sur ce point dès lors que la Dresse M_______ reprend pour l’essentiel les limitations des médecins de la CRR. Le recourant soutient de surcroît qu’il doit se déplacer avec des béquilles. Outre le fait que cela n’entrave pas en soi l’exercice d’une activité sédentaire, on relèvera que leur utilisation n’apparaît pas indispensable au plan médical. La Dresse C_______ préconisait en effet déjà en avril 2011 que le recourant y renonce, et aucun médecin n’en souligne la nécessité. L’aggravation qu’il invoque depuis l’accident, et qui ressortirait des IRM réalisées en 2009 et 2010, correspond à une gonarthrose débutante prise en compte dans la détermination des limitations fonctionnelles par les médecins. Quant aux douleurs qui auraient augmenté, on notera que celles-ci ne sont pas entièrement corrélées par un substrat organique. Le Dr O_______ a en effet indiqué que les constats radiologiques ne suffisaient pas à expliquer l’ampleur des plaintes du recourant. Les médecins de la CRR ont également noté des divergences entre leurs observations cliniques et les éléments mis en avant par le recourant. Le Dr P_______ a également évoqué la difficulté de cerner les symptômes du recourant, dont la personnalité était qualifiée d’histrionique. L’augmentation des douleurs alléguées n’est de plus confortée par aucun élément clinique objectif. Les autres griefs du recourant ne résistent pas non plus à l’examen. En tant qu’il reproche à l’intimée d’avoir fondé sa décision sur les appréciations des médecins d’arrondissement, il méconnaît le fait que la capacité de travail dans une activité adaptée retenue par l’intimée correspond à celle délimitée par les Drs U_______ et V_______. Par surabondance, le Dr O_______ a examiné en personne le recourant, contrairement à ce que ce dernier affirme. Quoi qu’il en soit, un rapport médical établi sur dossier n’est pas en soi dénué de force probante, comme cela ressort de la jurisprudence citée. Eu égard à ce qui précède, la chambre de céans ne s’écartera pas de la capacité de travail dans une activité adaptée telle que retenue par l’intimée. Compte tenu de la force probante du rapport des médecins de la CRR, il s’avère en particulier inutile de mettre en œuvre une expertise, par appréciation anticipée des preuves. Au vu des difficultés rapportées tant par le Dr X_______ que par le Dr Z_______ pour procéder à l’examen clinique du recourant, on peut de plus, à l’instar de l’intimée, douter de l’utilité d’une telle mesure. Egalement par appréciation anticipée des preuves, la chambre de céans renoncera à l’audition des médecins requise par le recourant et à entendre ce dernier.</w:t>
      </w:r>
    </w:p>
    <w:p>
      <w:r>
        <w:rPr>
          <w:b/>
        </w:rPr>
        <w:t>E. 13</w:t>
      </w:r>
    </w:p>
    <w:p>
      <w:r>
        <w:t>Il reste à vérifier si le calcul de l’intimée est correct. En ce qui concerne le revenu sans invalidité, on rappellera que selon l'art. 24 al. 2 de l'ordonnance sur l'assurance-accidents (OLAA - RS 832.202), lorsque le droit à la rente naît plus de cinq ans après l'accident ou l'apparition de la maladie</w:t>
      </w:r>
    </w:p>
    <w:p>
      <w:r>
        <w:t>A/1590/2015 - 22/24 -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est applicable en l’espèce, dès lors que le droit à la rente naît le 1er octobre 2013, soit plus de cinq ans après l’accident de mai 2008. Selon les données fournies par l’employeur en mars 2013, le salaire horaire du recourant, suppléments pour vacances et 13ème salaire inclus, aurait été de CHF 36.33 en 2013. Le pourcentage afférent aux vacances indiqué était de 14.04 %. Un droit aux vacances de six semaines correspondant à une indemnité de 13.043 % (Rémi WYLER / Boris HEINZER, Droit du travail, 3ème éd. 2014, p. 400), on admettra que c’est à des congés de cette durée au moins que pouvait prétendre le recourant. Ainsi, compte tenu d’un horaire hebdomadaire de 40 heures et de 46 semaines de travail par année, le revenu annuel aurait été de CHF 66'759.30 en 2013. En ce qui concerne le revenu avec invalidité, l’intimée l’a fixé à CHF 56'571.27, affirmant dans sa réponse du 13 août 2015 qu’elle s’était fondée sur l’ESS 2010, faisant valoir par surabondance que les données tirées de l’ESS 2012 devaient être prises comme références pour le revenu avec invalidité. Or, les résultats de l’ESS 2012 n’ont été publiés qu’en octobre 2014, si bien que l’intimée n’en disposait pas encore au moment où elle a rendu la décision sujette à opposition. C’est ainsi à juste titre qu’elle s’est fondée sur les chiffres tirés de l’ESS 2010 (arrêt du Tribunal fédéral 9C_526/2015 du 11 septembre 2015 consid. 3.2.2). La chambre de céans n’appliquera ainsi pas les revenus tirés de l’ESS 2012 mais s’en tiendra aux données de l’ESS 2010. Or, le salaire dans une activité simple et répétitive de niveau 4, soit CHF 4'901.- par mois pour 40 heures par semaine selon l’ESS 2010 (TA1 ligne Total), correspond après indexation et adaptation à la durée normale de travail (DNT) de 41.7 heures à CHF 62'919.38 en 2013. En ce qui concerne l’abattement de 10 %, l’intimée affirme qu’il est conforme à la jurisprudence. A titre d’exemples, dans le cas d’un assuré de 57 ans, longtemps absent du marché du travail, disposant d’une capacité de travail complète avec une diminution de rendement de 20 %, dont les limitations fonctionnelles consistaient en mesures classiques d’épargne de la colonne vertébrale, le Tribunal fédéral a confirmé un abattement de 15 % (arrêt du Tribunal fédéral 9C_713/2009 du 22 juillet 2010 consid. 4.3). Il a également considéré que l’abattement maximal que l’on pouvait admettre pour un assuré âgé de 62 ans, présentant des séquelles accidentelles aux membres inférieurs mais capable de travailler à plein temps, était de 15 % (arrêt du Tribunal fédéral des assurances U 329/02 du 2 septembre 2003 consid. 4.3). Au regard de ces arrêts, force est d’admettre qu’en appliquant un abattement de 10 %, l’intimée, sans être particulièrement favorable au recourant, est restée dans les limites de son pouvoir d’appréciation, de sorte que la chambre de céans ne saurait</w:t>
      </w:r>
    </w:p>
    <w:p>
      <w:r>
        <w:t>A/1590/2015 - 23/24 - revoir la quotité de cette réduction. Ainsi, le revenu d’invalide est réduit à CHF 56'627.10. La comparaison entre le revenu sans invalidité aboutit à un degré d’invalidité de 15.3 %, qui sera arrondi au chiffre inférieur (ATF 130 V 121 consid. 3.2), soit 15 %. Le recourant a ainsi droit à une rente d’invalidité de 15 %.</w:t>
      </w:r>
    </w:p>
    <w:p>
      <w:r>
        <w:rPr>
          <w:b/>
        </w:rPr>
        <w:t>E. 14</w:t>
      </w:r>
    </w:p>
    <w:p>
      <w:r>
        <w:t>Eu égard à ce qui précède, le recours est très partiellement admis. Le recourant a droit à des dépens, qui seront fixés à CHF 800.- (art. 61 let. g LPGA). Pour le surplus, la procédure est gratuite (art. 61 let. a LPGA).</w:t>
      </w:r>
    </w:p>
    <w:p>
      <w:r>
        <w:t>A/1590/2015 - 24/24 -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