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ATAS/476/2011 vom 11. Mai 2011</w:t>
      </w:r>
    </w:p>
    <w:p>
      <w:r>
        <w:t>GE Cour de justice, 2011-05-11, FR</w:t>
      </w:r>
    </w:p>
    <w:p>
      <w:r>
        <w:rPr>
          <w:b/>
        </w:rPr>
        <w:t xml:space="preserve">Quelle: </w:t>
      </w:r>
      <w:r>
        <w:t>https://mcp.opencaselaw.ch/entscheid/ge_gerichte_ATAS_476_2011</w:t>
      </w:r>
    </w:p>
    <w:p>
      <w:r>
        <w:t>FR: GE_GERICHTE ATAS/476/2011 du 11 mai 2011</w:t>
      </w:r>
    </w:p>
    <w:p>
      <w:r>
        <w:t>IT: GE_GERICHTE ATAS/476/2011 del 11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point de savoir si l'intimé était fondé de refuser d'entrer en matière sur la demande de révision du recourant.</w:t>
      </w:r>
    </w:p>
    <w:p>
      <w:r>
        <w:rPr>
          <w:b/>
        </w:rPr>
        <w:t>E. 4</w:t>
      </w:r>
    </w:p>
    <w:p>
      <w:r>
        <w:t>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 1.2 ;</w:t>
      </w:r>
    </w:p>
    <w:p>
      <w:r>
        <w:t>A/575/2011 - 9/12 -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c)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w:t>
      </w:r>
    </w:p>
    <w:p>
      <w:r>
        <w:t>A/575/2011 - 10/12 -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d)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ATF non publié du 7 décembre 2004, I 326/04, consid. 4.1 ; VALLAT, La nouvelle demande de prestations AI et les autres voies permettant la modification de décisions en force, RSAS 2003, p. 396 ch. 5.1).</w:t>
      </w:r>
    </w:p>
    <w:p>
      <w:r>
        <w:rPr>
          <w:b/>
        </w:rPr>
        <w:t>E. 5</w:t>
      </w:r>
    </w:p>
    <w:p>
      <w:r>
        <w:t>En l'espèce, l'intimé a refusé le droit à une rente d'invalidité par décision du 2 mai 2008. A l'époque, le recourant marchait sans cannes et était en mesure d'effectuer trois stages avec succès, dans le cadre d'une aide au placement. Le Dr P__________ a constaté, dans son rapport du 26 mai 2010 au Dr Q__________, que la cheville était tuméfiée et avait une mobilité réduite, sans que la radiographie ne décèle une lésion particulière. Il a prescrit au recourant un traitement conservateur et par cannes. Le 25 novembre 2010, le Dr Q__________ a certifié que l'état du recourant s'était aggravé, la cheville présentant une tuméfaction et sa mobilisation étant douloureuse et restreinte depuis juin 2010. Par ailleurs, l'assuré utilisait constamment des béquilles. Selon ce médecin, une nouvelle prise en charge orthopédique était nécessaire pour traiter la cheville, ainsi que le cas échéant des mesures de réadaptation professionnelle.</w:t>
      </w:r>
    </w:p>
    <w:p>
      <w:r>
        <w:t>A/575/2011 - 11/12 - Ces rapports ont été mis en doute par le SMR, dans son avis médical du 12 janvier 2011. Selon celui-ci, ces médecins ont apprécié le même état de fait déjà présent lors de la décision de refus de l'intimé en mai 2008. Ils ont ainsi considéré qu'une aggravation n'a pas été rendue plausible. Cependant, lors de l'examen du SMR en date du 18 février 2008, le recourant ne marchait pas avec des cannes et ses chevilles n'étaient pas tuméfiées. Il ne peut non plus être considéré que l'aggravation des douleurs, la restriction de la mobilité et la tuméfaction de la cheville attestées par les Drs P__________ et Q__________ fussent passagères, dès lors que le recourant marche avec des béquilles depuis février 2010. Enfin, le fait de devoir marcher avec des béquilles ou non a un impact considérable sur la capacité de travail. Ainsi, les stages que le recourant a effectués dans le cadre de l'aide au placement n'auraient pas été possibles, s'il avait dû marcher avec des cannes, dans la mesure où il devait régulièrement transporter du matériel. Il est vrai aussi que, d'un point de vue psychologique, une personne qui marche avec des cannes aura beaucoup plus de peine de se faire engager, même dans une activité sédentaire, dès lors qu'elle paraît être très handicapée par rapport à une personne avec des difficultés à la marche, mais qui peut encore se déplacer sans béquilles. Il n'est pas non plus allégué par l'intimé et le SMR que le recourant semblerait majorer ses plaintes et que celles-ci seraient ainsi sans fondement somatique. Dans ces conditions, il convient d'admettre qu'il est plausible que l'état de santé du recourant s'est aggravé. Partant, c'est à tort que l'intimé n'est pas entré en matière sur la demande.</w:t>
      </w:r>
    </w:p>
    <w:p>
      <w:r>
        <w:rPr>
          <w:b/>
        </w:rPr>
        <w:t>E. 6</w:t>
      </w:r>
    </w:p>
    <w:p>
      <w:r>
        <w:t>Par conséquent, le recours sera admis et la cause renvoyée à l'intimé pour examiner la demande de révision et, ceci fait, rendre une nouvelle décision.</w:t>
      </w:r>
    </w:p>
    <w:p>
      <w:r>
        <w:rPr>
          <w:b/>
        </w:rPr>
        <w:t>E. 7</w:t>
      </w:r>
    </w:p>
    <w:p>
      <w:r>
        <w:t>Dans la mesure où l'intimé succombe, l'émolument de justice de 200 fr. est mis à sa charge.</w:t>
      </w:r>
    </w:p>
    <w:p>
      <w:r>
        <w:t>A/575/2011 - 12/12 -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