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ATAS/476/2010 vom 11. Mai 2010</w:t>
      </w:r>
    </w:p>
    <w:p>
      <w:r>
        <w:t>GE Cour de justice, 2010-05-11, FR</w:t>
      </w:r>
    </w:p>
    <w:p>
      <w:r>
        <w:rPr>
          <w:b/>
        </w:rPr>
        <w:t xml:space="preserve">Quelle: </w:t>
      </w:r>
      <w:r>
        <w:t>https://mcp.opencaselaw.ch/entscheid/ge_gerichte_ATAS_476_2010</w:t>
      </w:r>
    </w:p>
    <w:p>
      <w:r>
        <w:t>FR: GE_GERICHTE ATAS/476/2010 du 11 mai 2010</w:t>
      </w:r>
    </w:p>
    <w:p>
      <w:r>
        <w:t>IT: GE_GERICHTE ATAS/476/2010 del 11 maggio 2010</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w:t>
      </w:r>
    </w:p>
    <w:p>
      <w:r>
        <w:rPr>
          <w:b/>
        </w:rPr>
        <w:t>E. 6</w:t>
      </w:r>
    </w:p>
    <w:p>
      <w:r>
        <w:t>octobre 2000 (LPGA ; RS 830.1) qui sont relatives à la Loi fédérale sur l'assurance-maladie, du 18 mars 1994 (LAMal ; RS 832.10) que des contestations relatives aux assurances complémentaires à l’assurance-maladie sociale prévue par la LAMal, et à l’assurance-accidents obligatoire prévue par la Loi fédérale sur l'assurance-accidents, du 20 mars 1981 (LAA ; RS 832.20), relevant de la Loi fédérale sur la contrat d'assurance, du 2 avril 1908 (Loi sur le contrat d’assurance, LCA ; RS 221.229.1). Sa compétence pour juger du cas d’espèce est ainsi établie. 2. Le recours est recevable à la forme, déposé en temps utile et dans la forme prescrite. 3. Le litige porte sur le paiement de la prime pour le mois de janvier 2009. 4. Selon l'article 7 LAMAL, en cas de changement d'assureur, la nouvelle affiliation ne prend effet que dès que la nouvelle caisse en informe l'ancienne caisse.</w:t>
      </w:r>
    </w:p>
    <w:p>
      <w:r>
        <w:t>A/164/2010 - 4/5 - 5. Dans le cas d'espèce, il s'est finalement avéré que le courrier d'HELSANA du 30 décembre 2008 a été reçu par MUTUEL le 5 janvier seulement, de sorte que la prime de janvier 2009 était due, mais aurait du être prise en charge par HELSANA. Les parties ont ainsi réglé leur différend, l'accord pouvant être homologué, étant conforme à la disposition précitée.</w:t>
      </w:r>
    </w:p>
    <w:p>
      <w:r>
        <w:t>A/164/2010 - 5/5 -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