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ATAS/475/2023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https://mcp.opencaselaw.ch/entscheid/ge_gerichte_ATAS_475_2023</w:t>
      </w:r>
    </w:p>
    <w:p>
      <w:r>
        <w:t>FR: GE_GERICHTE ATAS/475/2023 du 22 juin 2023</w:t>
      </w:r>
    </w:p>
    <w:p>
      <w:r>
        <w:t>IT: GE_GERICHTE ATAS/475/2023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Que l'art. 52 al. 1 LPGA prévoit cependant qu'avant d'être soumises à la chambre de céans, les décisions d'un assureur doivent être attaquées dans les 30 jours par voie d'opposition auprès de l'assureur qui les a rendues ; Qu'il ressort de la décision litigieuse et du courrier de l’OCE du 7 juin 2023 que la décision en question n'a pas fait l’objet d’une opposition ; Que le recours est par conséquent prématuré et doit être déclaré irrecevable 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l'intéressé doit être transmis à l’OCE comme objet de sa compétence.</w:t>
      </w:r>
    </w:p>
    <w:p>
      <w:r>
        <w:t>A/1587/2023 - 3/3 -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