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ATAS/474/2021 vom 17. Mai 2021</w:t>
      </w:r>
    </w:p>
    <w:p>
      <w:r>
        <w:t>GE Cour de justice, 2021-05-17, FR</w:t>
      </w:r>
    </w:p>
    <w:p>
      <w:r>
        <w:rPr>
          <w:b/>
        </w:rPr>
        <w:t xml:space="preserve">Quelle: </w:t>
      </w:r>
      <w:r>
        <w:t>https://mcp.opencaselaw.ch/entscheid/ge_gerichte_ATAS_474_2021</w:t>
      </w:r>
    </w:p>
    <w:p>
      <w:r>
        <w:t>FR: GE_GERICHTE ATAS/474/2021 du 17 mai 2021</w:t>
      </w:r>
    </w:p>
    <w:p>
      <w:r>
        <w:t>IT: GE_GERICHTE ATAS/474/2021 del 17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du recourant à être indemnisé pour le mois d’août 2020, singulièrement sur la date à laquelle le formulaire IPA d’août 2020 a été envoyé à l’intimée.</w:t>
      </w:r>
    </w:p>
    <w:p>
      <w:r>
        <w:rPr>
          <w:b/>
        </w:rPr>
        <w:t>E. 4</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5</w:t>
      </w:r>
    </w:p>
    <w:p>
      <w:r>
        <w:t>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La règle posée à l'art. 20 al. 3 LACI n'est pas une simple prescription d'ordre, mais une condition formelle du droit à l'indemnité car, selon le texte légal, le droit de l'assuré s'éteint s'il n'est pas exercé en temps utile. Le délai prévu par l'art. 20 al. 3 LACI est un délai de péremption dont l'inobservation entraîne l'extinction du droit à l'indemnité pour la période de contrôle concernée. Il ne peut être ni prolongé, ni interrompu, mais il peut faire</w:t>
      </w:r>
    </w:p>
    <w:p>
      <w:r>
        <w:t>A/853/2021 - 4/6 - l'objet d'une restitution s'il existe une excuse valable pour justifier le retard (ATF 117 V 244 consid. 3 ; arrêt du Tribunal fédéral 8C_433/2014 du 16 juillet 2015 consid. 2.1). Selon l'art. 29 de l'ordonnance du 31 août 1983 sur l'assurance-chômage obligatoire et l'indemnité en cas d'insolvabilité (OACI), l'assuré exerce son droit, notamment, en remettant l'extrait du fichier « Données de contrôle » ou la formule « Indications de la personne assurée » (al. 1er let. d et al. 2 let. a). L'alinéa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des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w:t>
      </w:r>
    </w:p>
    <w:p>
      <w:r>
        <w:t>A/853/2021 - 5/6 -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C 294/99 du 14 décembre 1999 consid. 2a, in DTA 2000 no 25 p. 122; cf. aussi arrêt 8C_427/2010 du 25 août 2010 consid. 5.1 ; arrêt 8C_591/2012 du 29 juillet 2013).</w:t>
      </w:r>
    </w:p>
    <w:p>
      <w:r>
        <w:rPr>
          <w:b/>
        </w:rPr>
        <w:t>E. 7</w:t>
      </w:r>
    </w:p>
    <w:p>
      <w:r>
        <w:t>En l’occurrence, le recourant a allégué avoir transmis le formulaire IPA d’août 2020, d’abord par courrier en septembre 2020, puis en le déposant dans l’urne de l’intimée le 18 décembre 2020. L’intimée a effectivement réceptionné le formulaire IPA litigieux le 18 décembre 2020, comme l’atteste le tampon apposé sur celui-ci, mais aucune autre pièce au dossier de l’intimé, ou produite par le recourant, ne permet d’établir qu’il aurait été communiqué à l’intimée avant cette date, en particulier courant septembre 2020. Au demeurant, le recourant n’a pas établi, comme cela lui incombait, qu’il a communiqué à l’intimée le formulaire litigieux antérieurement au 18 décembre 2020, de sorte que c’est à juste titre que l’intimée a constaté que le droit à l’indemnité du recourant pour le mois d’août 2020 est périmé, le délai de trois mois précité étant atteint au 30 novembre 2020. Enfin, le recourant ne prétend pas qu’il puisse faire valoir une excuse valable justifiant son retard à transmettre ledit formulaire. Partant, le recours ne peut qu’être rejeté.</w:t>
      </w:r>
    </w:p>
    <w:p>
      <w:r>
        <w:t>A/853/2021 - 6/6 -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