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ATAS/474/2020 vom 15. Juni 2020</w:t>
      </w:r>
    </w:p>
    <w:p>
      <w:r>
        <w:t>GE Cour de justice, 2020-06-15, FR</w:t>
      </w:r>
    </w:p>
    <w:p>
      <w:r>
        <w:rPr>
          <w:b/>
        </w:rPr>
        <w:t xml:space="preserve">Quelle: </w:t>
      </w:r>
      <w:r>
        <w:t>https://mcp.opencaselaw.ch/entscheid/ge_gerichte_ATAS_474_2020</w:t>
      </w:r>
    </w:p>
    <w:p>
      <w:r>
        <w:t>FR: GE_GERICHTE ATAS/474/2020 du 15 juin 2020</w:t>
      </w:r>
    </w:p>
    <w:p>
      <w:r>
        <w:t>IT: GE_GERICHTE ATAS/474/2020 del 15 giugno 2020</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w:t>
      </w:r>
    </w:p>
    <w:p>
      <w:r>
        <w:t>A/4603/20181281/2019 - 25/31 -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rPr>
          <w:b/>
        </w:rPr>
        <w:t>E. 2</w:t>
      </w:r>
    </w:p>
    <w:p>
      <w:r>
        <w:t>En l’occurrence, l’art. H des conditions générales d’assurance de Mobisana, prévoit que pour toute prétention découlant du contrat d’assurance, la Mobilière peut être actionnée, notamment au domicile Suisse de la personne assurée. La demanderesse étant domiciliée dans le canton de Genève, la chambre de céans est compétente à raison du lieu pour connaitre de la présente demande (art. 10 al. 1 CPC).</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rPr>
          <w:b/>
        </w:rPr>
        <w:t>E. 4</w:t>
      </w:r>
    </w:p>
    <w:p>
      <w:r>
        <w:t>Le litige porte sur le droit de la demanderesse au versement de l’indemnité journalière maladie au-delà du 11 octobre 2018. A cet égard, la demanderesse a conclu à ce que son opposition à la décision de la défenderesse du 8 octobre 2018 de suspendre ses indemnités journalières soit reconnue et à ce qu’il soit dit que la défenderesse n’a pas le droit de suspendre son minimum vital. Or, le chiffrement des actions en paiement d'une somme d'argent compte parmi les conditions de recevabilité, que le juge doit examiner d’office (arrêt du Tribunal fédéral 4A_235/2016 du 7 mars 2017 consid. 2.1) ; dans deux causes, le Tribunal fédéral a jugé irrecevables les conclusions d’assurés tendant simplement aux « prestations découlant du contrat d’assurance » (ATF 134 III 235 consid. 2) ou ordonnant « à [l’assurance] de calculer et de verser l’indemnité journalière en cas de maladie au demandeur dès le 30 août 2004 » (arrêt du Tribunal fédéral 4A_107/2008 du 5 juin 2008 consid. 2.2) ; la chambre de céans a également jugé irrecevables les conclusions d’une demanderesse, assistée par un avocat, tendant à la prise en charge d’une intervention programmée dans une clinique (ATAS/825/2018 précité). La question de la recevabilité de la présente demande, au regard des exigences précitées, peut cependant souffrir de rester ouverte, la demande devant de toute façon être rejetée.</w:t>
      </w:r>
    </w:p>
    <w:p>
      <w:r>
        <w:rPr>
          <w:b/>
        </w:rPr>
        <w:t>E. 5</w:t>
      </w:r>
    </w:p>
    <w:p>
      <w:r>
        <w:t>a. 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w:t>
      </w:r>
    </w:p>
    <w:p>
      <w:r>
        <w:t>A/4603/20181281/2019 - 26/31 -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ATF 130 III 321 consid. 3.1 ; ATF 129 III 18 consid. 2.6 ; ATF 127 III 519 consid. 2a). Cette disposition ne prescrit cependant pas quelles sont les mesures probatoires qui doivent être ordonnées (cf.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vertu de l’art. 150 al. 1 CPC, seules doivent être prouvées les allégations qui sont expressément contestées. Une telle contestation doit être suffisamment précise pour atteindre son but, c’est-à-dire permettre à la partie adverse de comprendre</w:t>
      </w:r>
    </w:p>
    <w:p>
      <w:r>
        <w:t>A/4603/20181281/2019 - 27/31 - quels allégués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Le fardeau de la contestation ne saurait toutefois entraîner un renversement du fardeau de la preuve (ATF 141 III 433 consid. 2.6 et les références ; arrêt précité 4A 318/2016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b. Il est de jurisprudence qu'une expertise privée n'est pas un moyen de preuve au sens de l'art. 168 al. 1 CPC, mais qu'elle doit être assimilée aux allégués de la partie qui la produit (ATF 141 III 433 consid. 2.6 p. 437 ; 140 III 24 consid. 3.3.3 p. 29). Seules doivent être prouvées les allégations qui sont expressément contestées. Une telle contestation doit être suffisamment précise afin que l'on puisse déterminer quelles sont les allégations du demandeur qui sont contestées. En d'autres termes, la</w:t>
      </w:r>
    </w:p>
    <w:p>
      <w:r>
        <w:t>A/4603/20181281/2019 - 28/31 - contestation doit être concrète à telle enseigne que la partie qui a allégué les faits sache quels sont ceux d'entre-eux qu'il lui incombe de prouver. Le degré de la motivation d'une allégation exerce une influence sur le degré exigible de motivation d'une contestation. Plus détaillées sont certaines allégations de la partie qui a le fardeau de la preuve, plus concrètement la partie adverse doit expliquer quels sont au sein de celles-ci les éléments de fait qu'elle conteste. Le fardeau de la contestation ne saurait toutefois entraîner un renversement du fardeau de la preuve (ATF 141 III 433 consid. 2.6 p. 438 et les références ; arrêt du Tribunal fédéral 4A_318/2016 du 3 août 2016).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 médecin traitant de l'assuré, le juge prendra en considération le fait que celui-ci peut être enclin, en cas de doute, à prendre parti pour son patient en raison de la relation de confiance qu'ils ont nouée (ATF 125 V 351 consid. 3 p. 352 ss ; arrêt 4A_318/201 du 3 août 2016 consid. 6.1).</w:t>
      </w:r>
    </w:p>
    <w:p>
      <w:r>
        <w:rPr>
          <w:b/>
        </w:rPr>
        <w:t>E. 6</w:t>
      </w:r>
    </w:p>
    <w:p>
      <w:r>
        <w:t>En l’occurrence, la défenderesse a produit une expertise orthopédique du Dr V______ du 5 juin 2019. Celle-ci, fondée sur les pièces médicales du dossier, comprenant les plaintes de la demanderesse, la description du traitement, les données personnelles familiales et socioprofessionnelles, un status orthopédique, une étude du dossier radiologique, des diagnostics clairs et des conclusions motivées, répond aux réquisits jurisprudentiels précités pour qu’il lui soit reconnu une pleine valeur probante. L’expert a conclu à une capacité de travail totale de la demanderesse dès le 16 octobre 2017 dans son ancienne activité, avec une limitation fonctionnelle (interdiction de porter un enfant ou intervenir en urgence pour une quelconque raison). Au vu de son examen clinique et des pièces médicales au dossier, une expertise neurologique n’était pas justifiée. La demanderesse a contesté la valeur probante de l’expertise du Dr V______ ; elle estime qu’une expertise neurologique aurait dû être ordonnée, vu le traumatisme crânien subi, avec entorse cervicale, dorsale et lombaire, l’instabilité physique dont elle était victime, avec une inflammation de toutes les articulations, des douleurs et engourdissements dans le corps ainsi que des troubles neuropsychologiques et un déboitement des hanches. Elle reproche au Dr V______ de ne pas avoir décrit correctement son accident et ses suites, d’avoir nié le lien de causalité entre</w:t>
      </w:r>
    </w:p>
    <w:p>
      <w:r>
        <w:t>A/4603/20181281/2019 - 29/31 - certaines atteintes constatées et l’accident, d’avoir effectué un status orthopédique sans tenir compte des examens radiologiques, lequel variait en fonction de la localisation de l’inflammation, de ne pas avoir noté toutes ses plaintes (douleurs aux épaules, genoux, dorsales, lombaires, cervicales, tendons, articulation du corps, maux de tête, sens altérés, plus de force musculaire, difficultés à respirer, douleurs), de ne pas avoir lu correctement son dossier radiologique, de ne pas avoir signalé dans les diagnostics une arthrite du genou gauche, aux épaules et des douleurs dans toutes les articulation et tendons ainsi qu’une tentative d’assassinat par empoisonnement, de ne pas reconnaitre qu’elle était en pleine santé avant l’accident, de ne pas admettre qu’un traitement médical était encore nécessaire, de prescrire des antalgiques alors qu’elle souffre d’hypertension, d’avoir considéré qu’elle était capable de travailler dès octobre 2017, alors qu’elle souffrait de toutes les atteintes décrites, de surcroit dans une activité d’animatrice parascolaire, et de ne pas avoir commenté tous les point de l’IRM cérébrale effectuée au Brésil. L’expertise était partiale, incomplète et pas sérieuse. Elle estime que l’indemnité journalière aurait dû être reprise dès sa participation à l’expertise orthopédique, soit dès fin juin 2019. Elle invoque, à l’appui de sa demande, le rapport du Dr U______ du 25 juin 2018. La chambre de céans constate que s’agissant de la période litigieuse, soit dès octobre 2018, la demanderesse a fourni des rapports médicaux de ses médecins traitants, lesquels ne sont toutefois pas à même de remettre en cause les conclusions de l’expertise du Dr V______. En effet, le Dr U______ a mentionné le 25 juin 2018 une entorse cervicale sévère et une entorse de la colonne dorso lombaire, une déchirure partielle du tendon supra épineux droit et une tendinopathie de Quervain associée à une probable lésion des nerfs périphériques en cours d’investigation. Il a signé un arrêt de travail de la demanderesse du 5 septembre au 21 octobre 2018, non motivé, puis il a attesté le 2 octobre 2018 qu’il existait une incapacité de travail totale en raison d’un syndrome post-traumatique cérébral et des autres diagnostics précités. Il a fait état de contractures para-cervicales, de douleurs para-dorsales, para-lombaires, au bassin, au poignet, à l’épaule droite, de vertiges, de maux de tête, de trouble de la vision, de l’audition et de la mémoire. Le 21 décembre 2018, le Dr U______ a encore fait état de maux de tête, douleur de la charnière cervico- dorso-lombaire et de douleur du bassin, justifiant un traitement de physiothérapie. Quant au Dr X______, il a relevé des arthralgies, myalgies, tendinite du genou droit le 25 avril 2019 et le Dr Y______ un épanchement articulaire du genou droit (le 9 mai 2019). Or, toutes ces atteintes ont été prise en compte par le Dr V______ dans le cadre de son évaluation et la demanderesse n’explique pas en quoi son appréciation est non probante. En particulier, le Dr V______ a relevé que le bilan neurologique effectué courant 2018, sur demande du Dr U______, auprès des Drs Z______, P______ et W______ ne démontrait aucune atteinte neurologique. Il en était de même de l’IRM effectuée au Brésil le 18 juillet 2018.</w:t>
      </w:r>
    </w:p>
    <w:p>
      <w:r>
        <w:t>A/4603/20181281/2019 - 30/31 - Enfin, la chambre de céans a requis du Dr U______ qu’il se prononce sur l’expertise du Dr V______. En l’absence d’une déclaration de la part de la demanderesse levant le secret professionnel du Dr U______ (sollicitée par la chambre de céans), ce médecin n’a pas été en mesure de communiquer sa détermination. Au demeurant, la demanderesse n’a pas été à même d’établir, au degré de la vraisemblance prépondérante, une incapacité de travail au-delà du 11 octobre 2018, de sorte que sa demande ne peut qu’être rejetée. Pour le surplus, la procédure est gratuite (art. 114 let. e CPC et 22 al. 3 let. b LaCC).</w:t>
      </w:r>
    </w:p>
    <w:p>
      <w:r>
        <w:t>A/4603/20181281/2019 - 31/31 -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