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ATAS/474/2019 vom 29. Mai 2019</w:t>
      </w:r>
    </w:p>
    <w:p>
      <w:r>
        <w:t>GE Cour de justice, 2019-05-29, FR</w:t>
      </w:r>
    </w:p>
    <w:p>
      <w:r>
        <w:rPr>
          <w:b/>
        </w:rPr>
        <w:t xml:space="preserve">Quelle: </w:t>
      </w:r>
      <w:r>
        <w:t>https://mcp.opencaselaw.ch/entscheid/ge_gerichte_ATAS_474_2019</w:t>
      </w:r>
    </w:p>
    <w:p>
      <w:r>
        <w:t>FR: GE_GERICHTE ATAS/474/2019 du 29 mai 2019</w:t>
      </w:r>
    </w:p>
    <w:p>
      <w:r>
        <w:t>IT: GE_GERICHTE ATAS/474/2019 del 29 maggio 2019</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En matière de prévoyance professionnelle, le for de l'action est au siège ou au domicile suisse du défendeur (art. 73 al. 3 LPP), soit Genève en l'espèce. La compétence de la chambre de céans pour juger du cas d’espèce est ainsi établie.</w:t>
      </w:r>
    </w:p>
    <w:p>
      <w:r>
        <w:rPr>
          <w:b/>
        </w:rPr>
        <w:t>E. 2</w:t>
      </w:r>
    </w:p>
    <w:p>
      <w:r>
        <w:t>L'ouverture de l'action prévue à l'art. 73 al. 1 LPP n'est soumise, comme telle, à l'observation d'aucun délai. C'est pourquoi, en matière de prévoyance professionnelle, le juge ne peut pas renvoyer l'affaire aux organes de l'assurance pour complément d'instruction et nouveau prononcé (ATF 117 V 237 consid. 2; 115 V 224 et 239; 114 V 102 consid. 1b; 113 V 198 consid. 2; 112 Ia 180 consid. 2). Respectant la forme prévue à l'art. 89B de la loi sur la procédure administrative du 12 septembre 1985 (LPA – RS/GE – E 5 10), la demande est recevable.</w:t>
      </w:r>
    </w:p>
    <w:p>
      <w:r>
        <w:rPr>
          <w:b/>
        </w:rPr>
        <w:t>E. 3</w:t>
      </w:r>
    </w:p>
    <w:p>
      <w:r>
        <w:t>Le litige porte sur le bien-fondé de la demande en paiement et la mainlevée de l'opposition faite au commandement de payer.</w:t>
      </w:r>
    </w:p>
    <w:p>
      <w:r>
        <w:rPr>
          <w:b/>
        </w:rPr>
        <w:t>E. 4</w:t>
      </w:r>
    </w:p>
    <w:p>
      <w:r>
        <w:t>La loi fédérale sur la prévoyance professionnelle, vieillesse, survivants et invalidité du 25 juin 1982 institue un régime d'assurance obligatoire des salariés (art. 2 al. 1 LPP). Sont obligatoirement soumis à l'assurance les salariés auxquels un même employeur verse un salaire annuel supérieur à CHF 21'150.- pour les risques de décès et d'invalidité dès le 1er janvier qui suit la date à laquelle ils ont eu 17 ans et, pour la vieillesse, dès le 1er janvier qui suit la date à laquelle ils ont eu 24 ans (art. 7 al. 1 LPP). L'assurance obligatoire commence en même temps que les rapports de travail et prend fin, notamment, en cas de dissolution des rapports de travail, le salarié restant assuré auprès de l'institution de prévoyance pour les risques de décès</w:t>
      </w:r>
    </w:p>
    <w:p>
      <w:r>
        <w:t>A/3689/2018 - 6/11 - et d'invalidité, durant un mois après la fin des rapports avec l'institution de prévoyance (art. 10 LPP). Selon l’art. 11 LPP, tout employeur occupant des salariés soumis à l’assurance obligatoire doit être affilié à une institution de prévoyance inscrite dans le registre de la prévoyance professionnelle (al. 1). 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(art. 66 al. 1 phr. 1 LPP). L'employeur est débiteur de la totalité des cotisations envers l'institution de prévoyance. Celle-ci peut majorer d'un intérêt moratoire les cotisations payées tardivement (art. 66 al. 2 LPP).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ATF 127 V 377 consid. 5e/bb et les références). Des intérêts ne peuvent être portés en compte pour cause de retard dans les intérêts moratoires (art. 105 al. 3 CO ; RSAS 2003 p. 500 consid. 6.1).</w:t>
      </w:r>
    </w:p>
    <w:p>
      <w:r>
        <w:rPr>
          <w:b/>
        </w:rPr>
        <w:t>E. 5</w:t>
      </w:r>
    </w:p>
    <w:p>
      <w:r>
        <w:t>Aux termes du ch. 10 du contrat d'adhésion, les cotisations sont exigibles en début de chaque année d'assurance (1er janvier). Lors de mutations intervenues en cours d'année, les contributions sont échues à la date d'entrée en vigueur correspondante. L'employeur s'engage à payer les contributions dans les délais et à régler le compte au prorata jusqu'au 30 juin et 31 décembre de l'année en question, dans la mesure où celui-ci présente un solde en faveur de la Fondation. Outre les cotisations pour constitution de l'avoir de vieillesse et pour l'assurance de risque, ces coûts comprennent les frais ordinaires d'exécution, les frais accessoires LPP, les contributions supplémentaires destinées à financer le taux de conversion LPP (risque de longévité) et les éventuelles contributions d'assainissement. Le règlement de prévoyance décrit le genre et l'étendue des prestations de prévoyance à verser par la Fondation aux employés assurés (ch. 9 du contrat d'adhésion). Par ailleurs, le ch. 11 du contrat d'adhésion régit l'obligation de l'employeur en matière de paiements extraordinaires.</w:t>
      </w:r>
    </w:p>
    <w:p>
      <w:r>
        <w:t>A/3689/2018 - 7/11 - Aux termes du ch. 12 du contrat d'adhésion, l'employeur est mis en demeure en cas de retard dans le paiement pour tous les arriérés de contributions et créances selon les ch. 10 et 11 du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Les frais de sommation et, le cas échéant, d'autres démarches d'encaissement sont régis par le règlement sur les coûts. Le règlement sur les coûts, faisant partie intégrante du contrat d'adhésion (ch. 5 du contrat d'adhésion) prévoit le montant des frais relatifs aux procédures de sommation, aux mesures d'encaissement ainsi qu'à la dissolution du contrat.</w:t>
      </w:r>
    </w:p>
    <w:p>
      <w:r>
        <w:rPr>
          <w:b/>
        </w:rPr>
        <w:t>E. 6</w:t>
      </w:r>
    </w:p>
    <w:p>
      <w:r>
        <w:t>a. 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Le délai des prescriptions commence à courir uniquement à partir du moment où la prestation est devenue exigible. En effet, l'art. 41 al. 2 LPP renvoie notamment à l'art. 130 al. 1 CO, qui associe le début du délai de prescription à l'exigibilité de la créance. Il faut, par exemple, partir de l'exigibilité des cotisations définie dans le règlement ou le contrat d'affiliation (PETREMAND in SCHNEIDER/GEISER/GÄCHTER [éd.], Commentaire LPP et LFLP, 2010, ad art. 41 LPP, pp. 650 – 651, nn 12 et 15). 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 59/03 du 30 décembre 2003 consid. 4.1). b. Les décisions des autorités administratives fédérales portant condamnation à payer une somme d'argent sont exécutées par la voie de la poursuite pour dettes et sont, une fois passées en force, assimilées à des jugements exécutoires au sens de</w:t>
      </w:r>
    </w:p>
    <w:p>
      <w:r>
        <w:t>A/3689/2018 - 8/11 -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À teneur de l’art. 88 al. 2 LP, le droit du créancier de requérir la continuation de la poursuite se périme par un an à compter de la notification du commandement de payer (première phrase) ; si opposition a été formée, ce délai ne court pas entre l'introduction de la procédure judiciaire ou administrative et le jugement définitif (seconde phrase).</w:t>
      </w:r>
    </w:p>
    <w:p>
      <w:r>
        <w:rPr>
          <w:b/>
        </w:rPr>
        <w:t>E. 7</w:t>
      </w:r>
    </w:p>
    <w:p>
      <w:r>
        <w:t>En l'occurrence, la demande du 24 août 2018 est intervenue dans le délai de prescription de cinq ans. Le commandement de payer a été notifié à la défenderesse le 9 mars 2018, date à laquelle le délai de péremption d’un an a commencé à courir. Par conséquent, celui-ci n’était pas atteint lorsque la demanderesse a saisi la chambre de céans, le 22 octobre 2018. En sa qualité d'employeuse occupant des salariés, la défenderesse devait être affiliée à une caisse de prévoyance professionnelle et verser les primes convenues avec la demanderesse. Il ressort de l'ensemble des pièces produites par la demanderesse, non contestées par la défenderesse, que cette dernière est demeurée débitrice d'un montant de CHF 92'932.55 correspondant aux cotisations dues, plus les intérêts à 5% dès le 1er janvier 2018 ainsi que les frais de mesures d’encaissement et de poursuites contractuels, selon le règlement sur les coûts.</w:t>
      </w:r>
    </w:p>
    <w:p>
      <w:r>
        <w:t>A/3689/2018 - 9/11 - En ce qui concerne les frais de poursuite, ils sont d'office supportés par le débiteur lorsque la poursuite aboutit (JdT 1974 III 32). Les frais dus par la défenderesse - notamment les frais de sommation, de résiliation du contrat et de mise en poursuite - sont par ailleurs prévus aux ch. 12 et 17 du contrat d'adhésion ainsi que par les ch. 2 et 3 du règlement sur les coûts, faisant partie du contrat d’adhésion (ch. 5). Quant aux intérêts contractuels réclamés par la demanderesse et les intérêts de 5% sur la créance en capital, ils sont dus en vertu, respectivement, des art. 66 al. 2 LPP et 104 al. 1 CO.</w:t>
      </w:r>
    </w:p>
    <w:p>
      <w:r>
        <w:rPr>
          <w:b/>
        </w:rPr>
        <w:t>E. 8</w:t>
      </w:r>
    </w:p>
    <w:p>
      <w:r>
        <w:t>a. La demanderesse a requis des dépens. b. L'art. 73 al. 2 LPP précise que les cantons doivent prévoir une procédure simple, rapide et, en principe, gratuite. L'art. 89H al. 1 LPA prévoit quant à lui que la procédure est gratuite pour les parties, sous réserve de procédures relatives à l'assurance-invalidité (cf. al. 4).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Dans le cadre de litige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Le Tribunal fédéral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 actuellement art. 61 let. a de la loi fédérale sur la partie générale des assurances sociales LPGA, en vigueur depuis le 1er janvier 2003 et, d’autre part, le droit aux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w:t>
      </w:r>
    </w:p>
    <w:p>
      <w:r>
        <w:t>A/3689/2018 - 10/11 - c. En l’espèce, la chambre de céans constate que la défenderesse a admis la dette et proposé un arrangement de paiement, de sorte que son attitude n’apparaît pas légère. Il n’y a en conséquence pas lieu d’allouer des dépens à la demanderesse. ***</w:t>
      </w:r>
    </w:p>
    <w:p>
      <w:r>
        <w:t>A/3689/2018 - 11/11 -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