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ATAS/474/2018 vom 5. Juni 2018</w:t>
      </w:r>
    </w:p>
    <w:p>
      <w:r>
        <w:t>GE Cour de justice, 2018-06-05, FR</w:t>
      </w:r>
    </w:p>
    <w:p>
      <w:r>
        <w:rPr>
          <w:b/>
        </w:rPr>
        <w:t xml:space="preserve">Quelle: </w:t>
      </w:r>
      <w:r>
        <w:t>https://mcp.opencaselaw.ch/entscheid/ge_gerichte_ATAS_474_2018</w:t>
      </w:r>
    </w:p>
    <w:p>
      <w:r>
        <w:t>FR: GE_GERICHTE ATAS/474/2018 du 5 juin 2018</w:t>
      </w:r>
    </w:p>
    <w:p>
      <w:r>
        <w:t>IT: GE_GERICHTE ATAS/474/2018 del 5 giugno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Les modifications du 18 mars 2011 de la loi fédérale sur l'assurance-invalidité (révision 6a), entrées en vigueur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l’espèce, au vu des faits pertinents jusqu’à la décision du 10 novembre 2017, le droit éventuel aux prestations doit être examiné en fonction des modifications de la LAI, dans la mesure de leur pertinence (ATF 130 V 445 et les références; voir également ATF 130 V 329).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w:t>
      </w:r>
    </w:p>
    <w:p>
      <w:r>
        <w:rPr>
          <w:b/>
        </w:rPr>
        <w:t>E. 3</w:t>
      </w:r>
    </w:p>
    <w:p>
      <w:r>
        <w:t>Le délai de recours est de trente jours (art. 60 al. 1 LPGA et art. 62 al. 1 let. a de la loi sur la procédure administrative du 12 septembre 1985 [LPA-GE - E 5 10]). Interjeté dans la forme et le délai prévus par la loi, le recours est ainsi recevable (art. 56 ss LPGA et 62 ss LPA-GE).</w:t>
      </w:r>
    </w:p>
    <w:p>
      <w:r>
        <w:rPr>
          <w:b/>
        </w:rPr>
        <w:t>E. 4</w:t>
      </w:r>
    </w:p>
    <w:p>
      <w:r>
        <w:t>Les décisions et les décisions sur opposition formellement passées en force sont soumises à révision si l'assuré ou l'assureur découvre subséquemment des faits nouveaux importants ou trouve de nouveaux moyens de preuve qui ne pouvaient être produits auparavant (révision procédurale; art. 53 al. 1 LPGA). L'assureur peut également revenir sur les décisions ou les décisions sur opposition formellement passées en force lorsqu'elles sont manifestement erronées et que leur rectification revêt une importance notable (reconsidération; art. 53 al. 2 LPGA). Indépendamment de ces conditions, l'assureur peut reconsidérer une décision ou</w:t>
      </w:r>
    </w:p>
    <w:p>
      <w:r>
        <w:t>A/4888/2017 - 8/16 - une décision sur opposition contre laquelle un recours a été formé, jusqu'à l'envoi de son préavis à l'autorité de recours (art. 53 al. 3 LPGA). Cette disposition légale règle le cas particulier de la reconsidération « pendente lite » d'une décision ou d'une décision sur opposition contre laquelle un recours a été formé (ATF 127 V 228 consid. 2b/bb; ZBJV 140/2004 p. 751; arrêt du Tribunal fédéral 8C_18/2009 du 31 juillet 2009 consid. 3). Par ailleurs, en vertu de l’art. 67 LPA-GE, dès le dépôt du recours, le pouvoir de traiter l’affaire qui en est l’objet passe à l’autorité de recours (al. 1) et l’administration peut, en cours de procédure, reconsidérer ou retirer sa décision pour autant qu’elle notifie, sans délai, sa nouvelle décision aux parties et en donne connaissance à l’autorité de recours (al. 2). Toutefois, l’autorité de recours continue à traiter le recours dans la mesure où la nouvelle décision ne l’a pas rendu sans objet (al. 3). La décision prise « pendente lite » ne met donc fin au litige que dans la mesure où elle correspond aux conclusions du recourant. Le litige subsiste dans la mesure où la nouvelle décision ne règle pas toutes les questions à satisfaction du recourant; l’autorité saisie doit alors entrer en matière sur le recours dans la mesure où l’intéressé n’a pas obtenu satisfaction, sans que celui-ci doive attaquer le nouvel acte administratif (ATF 113 V 237).</w:t>
      </w:r>
    </w:p>
    <w:p>
      <w:r>
        <w:rPr>
          <w:b/>
        </w:rPr>
        <w:t>E. 5</w:t>
      </w:r>
    </w:p>
    <w:p>
      <w:r>
        <w:t>En l’espèce, dans son préavis du 5 février 2018, l’intimé propose l’admission partielle du recours et le renvoi du dossier pour instruction complémentaire, puis nouvelle décision. Étant donné que jusqu’à son préavis, l’intimé n’a pas annulé sa décision et que malgré l’acceptation de celui-ci de procéder à une instruction complémentaire, la recourante considère qu’une expertise judiciaire se justifie, la chambre de céans doit statuer sur le présent recours. Le litige porte sur la limitation au 31 août 2016 de la rente entière d’invalidité, respectivement sur l’existence d’une amélioration de l’atteinte à la santé de la recourante dès juin 2016, susceptible de rétablir sa capacité de gain.</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Pour évaluer le taux d'invalidité, le revenu que l'assuré aurait pu obtenir s'il n'était pas invalide est comparé avec celui qu'il pourrait obtenir en exerçant l'activité qui peut raisonnablement être exigée de lui</w:t>
      </w:r>
    </w:p>
    <w:p>
      <w:r>
        <w:t>A/4888/2017 - 9/16 - après les traitements et les mesures de réadaptation, sur un marché du travail équilibré (art. 16 LPGA).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L’art. 17 al. 1er LPGA dispose que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w:t>
      </w:r>
    </w:p>
    <w:p>
      <w:r>
        <w:rPr>
          <w:b/>
        </w:rPr>
        <w:t>E. 7</w:t>
      </w:r>
    </w:p>
    <w:p>
      <w:r>
        <w:t>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ATF 114 V 310 consid. 3c; arrêt du Tribunal fédéral 8C_442/2013 du 4 juillet 2014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sous la forme d'un rapport ou d'une expertise,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w:t>
      </w:r>
    </w:p>
    <w:p>
      <w:r>
        <w:t>A/4888/2017 - 10/16 -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ATF 125 V 351 consid. 3b/bb). d.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Cependant, le simple fait qu'un certificat médical est établi à la demande d'une partie et produit pendant la procédure ne justifie pas, en soi, des doutes quant à sa valeur probante. Selon la jurisprudence, une expertise présentée par une partie n'a pas la même valeur que des expertises mises en œuvre par un tribunal ou par l'administration conformément aux règles de procédure applicables (arrêt du Tribunal fédéral 8C_558/2008 du 17 mars 2009 consid. 2.4.1). Toutefois, une expertise présentée par une partie peut également valoir comme moyen de preuve. Le juge est donc tenu d'examiner si elle est propre à mettre en doute, sur les points litigieux importants, l'opinion ou les conclusions de l'expert mandaté par le tribunal,</w:t>
      </w:r>
    </w:p>
    <w:p>
      <w:r>
        <w:t>A/4888/2017 - 11/16 - l'assureur-accidents ou un office AI (ATF 125 V 351 consid. 3c; arrêt du Tribunal fédéral 8C_658/2008 du 23 mars 2009 consid. 3.3.1).</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w:t>
      </w:r>
    </w:p>
    <w:p>
      <w:r>
        <w:rPr>
          <w:b/>
        </w:rPr>
        <w:t>E. 9</w:t>
      </w:r>
    </w:p>
    <w:p>
      <w:r>
        <w:t>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Sont pertinents tous les faits dont l'existence peut influencer d'une manière ou d'une autre le jugement relatif à la prétention litigieuse (VSI 1994 p. 220 consid. 4a). Le devoir d'instruction s'étend jusqu'à ce que les faits nécessaires à l'examen des prétentions en cause soient suffisamment élucidés (arrêt du Tribunal fédéral 8C_667/2012 du</w:t>
      </w:r>
    </w:p>
    <w:p>
      <w:r>
        <w:rPr>
          <w:b/>
        </w:rPr>
        <w:t>E. 12</w:t>
      </w:r>
    </w:p>
    <w:p>
      <w:r>
        <w:t>Au vu de ce qui précède, le recours sera admis et la décision du 10 novembre 2017 sera annulée au sens des considérants. La recourante obtenant gain de cause et étant représentée, une indemnité de CHF 1'500.- lui sera accordée à titre de participation à ses frais et dépens (art. 61 let. g LPGA; art. 6 du règlement sur les frais, émoluments et indemnités en matière administrative du 30 juillet 1986 [RFPA - E 5 10.03]).</w:t>
      </w:r>
    </w:p>
    <w:p>
      <w:r>
        <w:t>A/4888/2017 - 15/16 - Etant donné que depuis le 1er juillet 2006 la procédure n'est plus gratuite (art. 69 al. 1bis LAI), au vu du sort du recours, il y a lieu de condamner l'intimé au paiement d'un émolument de CHF 200.-.</w:t>
      </w:r>
    </w:p>
    <w:p>
      <w:r>
        <w:t>A/4888/2017 - 16/16 -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