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ATAS/474/2017 vom 12. Juni 2017</w:t>
      </w:r>
    </w:p>
    <w:p>
      <w:r>
        <w:t>GE Cour de justice, 2017-06-12, FR</w:t>
      </w:r>
    </w:p>
    <w:p>
      <w:r>
        <w:rPr>
          <w:b/>
        </w:rPr>
        <w:t xml:space="preserve">Quelle: </w:t>
      </w:r>
      <w:r>
        <w:t>https://mcp.opencaselaw.ch/entscheid/ge_gerichte_ATAS_474_2017</w:t>
      </w:r>
    </w:p>
    <w:p>
      <w:r>
        <w:t>FR: GE_GERICHTE ATAS/474/2017 du 12 juin 2017</w:t>
      </w:r>
    </w:p>
    <w:p>
      <w:r>
        <w:t>IT: GE_GERICHTE ATAS/474/2017 del 12 giugno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l’espèce, au vu des faits pertinents jusqu’à la décision du 1er juin 2016,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Le délai de recours est de 30 jours (art. 56 LPGA; art. 62 al. 1 de la de loi sur la procédure administrative du 12 septembre 1985 [LPA - E 5 10]). Interjeté dans la forme et le délai prévus par la loi, le recours est recevable (art. 56 ss LPGA et 62 ss LPA).</w:t>
      </w:r>
    </w:p>
    <w:p>
      <w:r>
        <w:rPr>
          <w:b/>
        </w:rPr>
        <w:t>E. 5</w:t>
      </w:r>
    </w:p>
    <w:p>
      <w:r>
        <w:t>Le litige porte sur le droit de la recourante à une rente d’invalidité, plus particulièrement sur la question de savoir si, au vu de son état de santé, elle dispose d’une capacité de travail résiduelle entière dans une activité adaptée.</w:t>
      </w:r>
    </w:p>
    <w:p>
      <w:r>
        <w:rPr>
          <w:b/>
        </w:rPr>
        <w:t>E. 6</w:t>
      </w:r>
    </w:p>
    <w:p>
      <w:r>
        <w:t>En vertu de l’art. 28 al. 1 LAI, l’assuré a droit à une rente entière s’il est invalide à 70% au moins, à un trois-quarts de rente s'il est invalide à 60% au moins, à une</w:t>
      </w:r>
    </w:p>
    <w:p>
      <w:r>
        <w:t>A/2241/2016 - 11/28 - demi-rente s’il est invalide à 50% au moins, ou à un quart de rente s’il est invalide à 40% au moins.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8</w:t>
      </w:r>
    </w:p>
    <w:p>
      <w:r>
        <w:t>La reconnaissance de l'existence de troubles somatoformes douloureux persistants suppose d'abord la présence d'un diagnostic émanant d'un expert (psychiatre) et</w:t>
      </w:r>
    </w:p>
    <w:p>
      <w:r>
        <w:t>A/2241/2016 - 12/28 -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w:t>
      </w:r>
    </w:p>
    <w:p>
      <w:r>
        <w:rPr>
          <w:b/>
        </w:rPr>
        <w:t>E. 9</w:t>
      </w:r>
    </w:p>
    <w:p>
      <w:r>
        <w:t>L'évaluation des syndromes sans pathogenèse ni étiologie claires et sans constat de déficit organique ne fait pas l'objet d'un consensus médical (arrêt du Tribunal</w:t>
      </w:r>
    </w:p>
    <w:p>
      <w:r>
        <w:t>A/2241/2016 - 13/28 -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w:t>
      </w:r>
    </w:p>
    <w:p>
      <w:r>
        <w:rPr>
          <w:b/>
        </w:rPr>
        <w:t>E. 10</w:t>
      </w:r>
    </w:p>
    <w:p>
      <w:r>
        <w:t>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w:t>
      </w:r>
    </w:p>
    <w:p>
      <w:r>
        <w:t>A/2241/2016 - 14/28 -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w:t>
      </w:r>
    </w:p>
    <w:p>
      <w:r>
        <w:t>A/2241/2016 - 15/28 -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w:t>
      </w:r>
    </w:p>
    <w:p>
      <w:r>
        <w:t>A/2241/2016 - 16/28 -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rPr>
          <w:b/>
        </w:rPr>
        <w:t>E. 11</w:t>
      </w:r>
    </w:p>
    <w:p>
      <w:r>
        <w:t>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A/2241/2016 - 17/28 -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w:t>
      </w:r>
    </w:p>
    <w:p>
      <w:r>
        <w:t>A/2241/2016 - 18/28 - manière objective si l'assuré présente un état douloureux d'une gravité telle - eu égard également aux critères déterminants - que la mise en valeur de sa capacité de travail sur le marché du travail n’est plus du tout ou seulement partiellement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arrêt du Tribunal fédéral des assurances I 652/04 du 3 avril 2006 consid. 2.3).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I.244/05 du 3 mai 2006 consid. 2.1).</w:t>
      </w:r>
    </w:p>
    <w:p>
      <w:r>
        <w:rPr>
          <w:b/>
        </w:rPr>
        <w:t>E. 12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w:t>
      </w:r>
    </w:p>
    <w:p>
      <w:r>
        <w:t>A/2241/2016 - 19/28 -</w:t>
      </w:r>
    </w:p>
    <w:p>
      <w:r>
        <w:rPr>
          <w:b/>
        </w:rPr>
        <w:t>E. 13</w:t>
      </w:r>
    </w:p>
    <w:p>
      <w:r>
        <w:t>En l’espèce, le rapport d’expertise du 18 juin 2015 comporte un résumé du dossier ainsi qu’une anamnèse, il consigne les plaintes de la recourante et a été établi après examens de médecine interne, rhumatologie et psychiatrie ainsi qu’un nouvel examen radiologique des genoux et des colonnes cervicale et lombaire. Les experts retiennent avec incidence sur la capacité de travail, des cervicalgies/cervico brachialgies chroniques bilatérales à prédominance droite - irritatives mais non déficitaires - dans le cadre de troubles dégénératifs, une périarthrite scapulo- humérale bilatérale chronique et des gonalgies bilatérales sur gonarthrose débutante bilatérale. Dans ce cadre précis, il existe une incapacité de travail entière dans l’activité de femme de chambre. En revanche, dans une activité adaptée tenant compte des limitations fonctionnelles, la capacité de travail est entière sans diminution de rendement depuis le début de l’incapacité de travail. Selon le status de médecine interne, la collaboration est bonne d’emblée. Durant toute la durée de l’entretien, la recourante reste assise sans changer constamment de position et ne demande pas à se lever. Les gestes de déshabillage et d’habillage sont effectués en position debout sans difficulté particulière, mais accompagnés souvent de soupirs. L’expert rhumatologue retient un diagnostic de fibromyalgie au vu de l’anamnèse (arthralgies, myalgies diffuses et fatigue), de l’examen clinique avec présence de seize trigger points positifs sur dix-huit (18/18) et de trois signes de non-organicité de Waddel sur cinq évoquant une composante psychogène à la symptomatologie algique. Au status rhumatologique, il observe que l’habillage et le déshabillage s’effectuent de façon un peu laborieuse, de même que la mobilisation sur la table d’examen ou en position statique debout. Toutefois, la recourante est collaborante et orientée mais démonstrative. Il explique qu’il se distancie de l’appréciation du Dr C______ car les cervicalgies et les cervico-brachialgies peuvent être expliquées par une volumineuse hernie cervicale C5-C6 avec conflit discoradiculaire mis en évidence par l’IRM du 24 mars 2015. Il en conclut que l’ancienne activité professionnelle de femme de chambre n’est plus exigible au vu des limitations fonctionnelles générées tant par les troubles dégénératifs marqués de la colonne cervicale en particulier que par la gonarthrose bilatérale et la périarthrite scapulo- humérale bilatérale qui s’associent à la pathologie cervicale. En revanche, il considère qu’une activité adaptée est exigible à 100%. Quant au volet psychiatrique de l’expertise du CEMed, le Dr I______ ne retient aucun trouble psychique ayant une répercussion sur la capacité de travail, mais au vu de l’atteinte chronique de l’humeur, une dysthymie présente depuis 2008 et ne justifiant aucune incapacité de travail. Il relève une humeur fluctuante à dominante dysphorique, une asthénie vitale et une anergie avec anhédonie, sans ruminations négatives et idéations suicidaires. La chronicité et la stabilité de la symptomatologie dans le temps sont sources d’inconfort mais n’empêchent pas la recourante de fonctionner au quotidien. Cette symptomatologie a au maximum une intensité légère et sa sévérité est clairement insuffisante pour évoquer un trouble dépressif</w:t>
      </w:r>
    </w:p>
    <w:p>
      <w:r>
        <w:t>A/2241/2016 - 20/28 - récurrent. Compte tenu des constats cliniques qui mettent en évidence une atteinte thymique au maximum légère, le Dr I______ estime que cette pathologie quoique chronicisée n’est pas invalidante sur le plan professionnel. Au status psychique, l’expert psychiatre considère que la recourante se montre dans l’ensemble assez démonstrative et a une collaboration paraissant souvent limitée au motif qu’elle répond avec imprécisions aux questions posées ou avec des « je ne sais pas » et que pour préciser les réponses vagues, il est nécessaire de lui reposer à plusieurs reprises la même question. Par exemple, elle ne se souvient pas de l’âge précis de ses enfants, ni de certaines dates importantes. Son discours est uniquement centré sur les plaintes. Elle a de la peine à maintenir son focus d’attention et a une grande tendance à être digressive. La tristesse est visible, particulièrement au début de l’entretien où sa mimique très expressive exprime la dysphorie et l’abattement. Progressivement au cours de l’entretien, cette apparence s’estompe. Elle exprime un certain découragement avec un pessimisme grandissant en ce qui concerne son existence. Il n’y a pas d’argument en faveur de la présence de phénomènes hallucinatoires ou de type automatisme mental. Ni l’histoire personnelle, ni les constatations objectives ne suggèrent la présence d’un trouble de la personnalité préexistant. L’expert observe que la fibromyalgie n’est pas associée à une autre pathologie psychiatrique sévère, qu’il n’y a pas de processus maladif s’étendant sur plusieurs années, pas de perte d’intégration sociale, pas d’état psychique cristallisé et pas d’échec des traitements ambulatoires. Dans son rapport complémentaire du</w:t>
      </w:r>
    </w:p>
    <w:p>
      <w:r>
        <w:rPr>
          <w:b/>
        </w:rPr>
        <w:t>E. 17</w:t>
      </w:r>
    </w:p>
    <w:p>
      <w:r>
        <w:t>février 2016, le Dr I______ reprend les explications contenues dans le rapport d’expertise et précise que la recourante ne présente pas de perte d’intégration sociale au motif que celle-ci est préservée sur le plan familial et que ses capacités à interagir avec autrui sont intactes. En définitive, le Dr I______ diagnostique une dysthymie d’intensité légère et nie le caractère invalidant de la fibromyalgie. Il ne retient pas l’existence d’un trouble dépressif récurrent – posé par la Dresse D______ dans son rapport du 6 mars 2012 et par les médecins du CAPPI dans leurs rapports des 18 mai 2012, 17 décembre 2012 et 3 août 2016 – au motif que l’atteinte chronique de l’humeur constatée lors de son examen du 24 février 2015 n’a pas la sévérité suffisante pour évoquer un tel trouble dépressif récurrent. Une telle motivation n’est pas suffisante car les psychiatres traitants de la recourante qui la suivent depuis le 14 juillet 2011 ont eu le recul temporel pour poser un diagnostic psychiatrique précis sur la base de leurs observations régulières de la recourante. En effet, depuis le début de son incapacité de travail le 14 juillet 2011, l’état de santé psychique de la recourante a notamment entraîné un tentamen médicamenteux le 15 septembre 2011, avec hospitalisation en urgence aux HUG lors de laquelle les diagnostics notamment de trouble de l’adaptation avec anxiété et trouble dépressif non spécifique ont été posés. Depuis cette hospitalisation, la recourante est suivie par un psychiatre et en dernier lieu par le service psychiatrique des HUG qui font tous état d’un trouble dépressif récurrent et d’une incapacité de travail. Ainsi, selon les rapports du CAPPI des 18 mai 2012 et 17 décembre 2012, la recourante souffre d’un trouble dépressif récurrent, épisode</w:t>
      </w:r>
    </w:p>
    <w:p>
      <w:r>
        <w:t>A/2241/2016 - 21/28 - moyen, et les symptômes dépressifs ainsi que les idées suicidaires ont diminué depuis le mois de juin 2012 sans que la persistance de nombreux symptômes dépressifs ne permette une reprise du travail. Dès lors, ces rapports font état d’une modification de l’état psychique de la recourante sur laquelle l’expert devait prendre position. En effet, son évaluation ne devait pas se limiter à une photographie de la situation constatée lors de son examen, mais devait englober la période courant depuis le début de l’incapacité de travail de la recourante jusqu’à la date dudit examen. En outre, il retient l’absence d’argument en faveur de phénomènes hallucinatoires alors que le Dr F______ indique dans son rapport du</w:t>
      </w:r>
    </w:p>
    <w:p>
      <w:r>
        <w:rPr>
          <w:b/>
        </w:rPr>
        <w:t>E. 18</w:t>
      </w:r>
    </w:p>
    <w:p>
      <w:r>
        <w:t>Dire s'il y a une diminution de rendement et la chiffrer.</w:t>
      </w:r>
    </w:p>
    <w:p>
      <w:r>
        <w:rPr>
          <w:b/>
        </w:rPr>
        <w:t>E. 19</w:t>
      </w:r>
    </w:p>
    <w:p>
      <w:r>
        <w:t>Évaluer la possibilité d'améliorer la capacité de travail par des mesures médicales. Indiquer quelles seraient les propositions thérapeutiques et leur influence sur la capacité de travail.</w:t>
      </w:r>
    </w:p>
    <w:p>
      <w:r>
        <w:rPr>
          <w:b/>
        </w:rPr>
        <w:t>E. 20</w:t>
      </w:r>
    </w:p>
    <w:p>
      <w:r>
        <w:t>Commenter et discuter les avis médicaux du SMR, des experts s’étant déjà prononcés et des médecins traitants et indiquer - cas échéant - pour quelles raisons ces avis sont confirmés ou écartés.</w:t>
      </w:r>
    </w:p>
    <w:p>
      <w:r>
        <w:rPr>
          <w:b/>
        </w:rPr>
        <w:t>E. 21</w:t>
      </w:r>
    </w:p>
    <w:p>
      <w:r>
        <w:t>Formuler un pronostic global.</w:t>
      </w:r>
    </w:p>
    <w:p>
      <w:r>
        <w:rPr>
          <w:b/>
        </w:rPr>
        <w:t>E. 22</w:t>
      </w:r>
    </w:p>
    <w:p>
      <w:r>
        <w:t>Toute remarque utile et proposition des experts.</w:t>
      </w:r>
    </w:p>
    <w:p>
      <w:r>
        <w:t>A/2241/2016 - 28/28 - 5. S'agissant plus particulièrement des troubles psychiques, charge l’expert psychiatre de répondre également aux questions suivantes : a) Quel est le degré de gravité de chacun des troubles diagnostiqués (faible, moyen, grave) ? b) Les troubles psychiques constatés nécessitent-ils une prise en charge spécialisée ? c)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d) De quelles ressources mobilisables l’assurée dispose-t-elle ? e) Quel est le contexte social ? L’intéressée peut-elle compter sur le soutien de ses proches ? f) Pour le cas où il y aurait refus ou mauvaise acceptation d’une thérapie recommandée et accessible : cette attitude doit-elle être attribuée à une incapacité de l’assurée à reconnaître sa maladie ? g) Dans l’ensemble, le comportement de l’expertisée vous semble-t-il cohérent ? Pourquoi ? 6. Invite les experts à faire une appréciation consensuelle du cas s’agissant de toutes les problématiques ayant des interférences entre-elles, notamment l’appréciation de la capacité de travail résiduelle. 7. Invite les experts à déposer à leur meilleure convenance un rapport en trois exemplaires à la chambre de céans. 8. Réserve le fond.</w:t>
      </w:r>
    </w:p>
    <w:p>
      <w:r>
        <w:t>La greffière</w:t>
      </w:r>
    </w:p>
    <w:p>
      <w:r>
        <w:t>Julia BARRY</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