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ATAS/473/2023 vom 22. Juni 2023</w:t>
      </w:r>
    </w:p>
    <w:p>
      <w:r>
        <w:t>GE Cour de justice, 2023-06-22, FR</w:t>
      </w:r>
    </w:p>
    <w:p>
      <w:r>
        <w:rPr>
          <w:b/>
        </w:rPr>
        <w:t xml:space="preserve">Quelle: </w:t>
      </w:r>
      <w:r>
        <w:t>https://mcp.opencaselaw.ch/entscheid/ge_gerichte_ATAS_473_2023</w:t>
      </w:r>
    </w:p>
    <w:p>
      <w:r>
        <w:t>FR: GE_GERICHTE ATAS/473/2023 du 22 juin 2023</w:t>
      </w:r>
    </w:p>
    <w:p>
      <w:r>
        <w:t>IT: GE_GERICHTE ATAS/473/2023 del 22 giugno 2023</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la forme et le délai prévus par la loi, compte tenu de la suspension des délais du 7e jour avant Pâques au 7e jour après Pâques inclusivement (art. 38 al. 4 let. a LPGA et art. 89C let. a de la loi sur la procédure administrative du 12 septembre 1985 [LPA - E 5 10]), le recours est recevable ;</w:t>
      </w:r>
    </w:p>
    <w:p>
      <w:r>
        <w:t>A/1003/2023 - 3/4 - Que par détermination du 17 mai 2023, l'OAI a conclu au renvoi de la cause, pour instruction médicale complémentaire ; Que cette détermination correspond aux conclusions de la recourante, qui demandait que l’autorité intimée procède à un réexamen de sa situation, au vu de la nouvelle pièce médicale jointe à son recours ; Qu’il convient d’en prendre acte ; Qu’au vu des pièces du dossier, il sied de retourner la cause à l’OAI, afin qu’il procède à une instruction complémentaire ; Qu’un tel procédé ne porte pas atteinte au principe de célérité ; Qu’il correspond, de surcroît, aux conclusions de la recourante ;</w:t>
      </w:r>
    </w:p>
    <w:p>
      <w:r>
        <w:t>Qu'il se justifie, dès lors, d'admettre le recours, d'annuler la décision litigieuse et de renvoyer la cause à l’intimé pour complément d’instruction ; Que la procédure n’étant pas gratuite, un émolument de CHF 200.- sera mis à la charge de l’OAI.</w:t>
      </w:r>
    </w:p>
    <w:p>
      <w:r>
        <w:t>A/1003/2023 - 4/4 -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