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ATAS/473/2020 vom 15. Juni 2020</w:t>
      </w:r>
    </w:p>
    <w:p>
      <w:r>
        <w:t>GE Cour de justice, 2020-06-15, FR</w:t>
      </w:r>
    </w:p>
    <w:p>
      <w:r>
        <w:rPr>
          <w:b/>
        </w:rPr>
        <w:t xml:space="preserve">Quelle: </w:t>
      </w:r>
      <w:r>
        <w:t>https://mcp.opencaselaw.ch/entscheid/ge_gerichte_ATAS_473_2020</w:t>
      </w:r>
    </w:p>
    <w:p>
      <w:r>
        <w:t>FR: GE_GERICHTE ATAS/473/2020 du 15 juin 2020</w:t>
      </w:r>
    </w:p>
    <w:p>
      <w:r>
        <w:t>IT: GE_GERICHTE ATAS/473/2020 del 15 giugno 2020</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[LPP - RS 831.40] ; art. 142 CC).</w:t>
      </w:r>
    </w:p>
    <w:p>
      <w:r>
        <w:rPr>
          <w:b/>
        </w:rPr>
        <w:t>E. 2</w:t>
      </w:r>
    </w:p>
    <w:p>
      <w:r>
        <w:t>Au 1er janvier 2017 est entrée en vigueur la modification des art. 122 ss CC concernant le partage des prestations de sortie des ex-époux, ainsi que des art. 280 ss du Code de procédure civile du 19 décembre 2008 (CPC - RS 272) et 22 ss. LFLP. En l’occurrence, le jugement de divorce étant antérieur au 1er janvier 2017, le droit en vigueur jusqu’au 31 décembre 2016 est applicable.</w:t>
      </w:r>
    </w:p>
    <w:p>
      <w:r>
        <w:rPr>
          <w:b/>
        </w:rPr>
        <w:t>E. 3</w:t>
      </w:r>
    </w:p>
    <w:p>
      <w:r>
        <w:t>L'art. 25a LFLP, entré en vigueur le 1er janvier 2000, règle la procédure en cas de divorce. Lorsque les conjoints ne sont pas d’accord sur la prestation de sortie à partager (art. 122 et 123 CC), le juge du lieu du divorce compétent au sens de l'art. 73 al. 1 LPP, soit à Genève la chambre des assurances sociales de la Cour de justice depuis le 1er janvier 2011, doit, après que l'affaire lui a été transmise (art. 281 al. 3 CPC), exécuter d'office le partage sur la base de la clé de répartition déterminée par le juge du divorce.</w:t>
      </w:r>
    </w:p>
    <w:p>
      <w:r>
        <w:t>A/1493/2020 - 3/4 - Selon l'art. 22 al. 1 LFLP, dans sa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w:t>
      </w:r>
    </w:p>
    <w:p>
      <w:r>
        <w:rPr>
          <w:b/>
        </w:rPr>
        <w:t>E. 4</w:t>
      </w:r>
    </w:p>
    <w:p>
      <w:r>
        <w:t>Le juge du divorce doit régler le sort de la prévoyance professionnelle constituée pendant la durée du mariage et il lui incombe de déterminer la clé de répartition (arrêt du Tribunal fédéral du 15 février 2019, 9C 737/2010). Les proportions du partage doivent impérativement être fixées dans la procédure de divorce (ATF 136 V 225 ; 132 V 337 ; 132 III 401).</w:t>
      </w:r>
    </w:p>
    <w:p>
      <w:r>
        <w:rPr>
          <w:b/>
        </w:rPr>
        <w:t>E. 5</w:t>
      </w:r>
    </w:p>
    <w:p>
      <w:r>
        <w:t>En l’espèce, le jugement de divorce du 9 mai 2011 ne statue pas sur le partage des avoirs de prévoyance professionnelle des demandeurs. En conséquence, la chambre de céans est dans l’impossibilité d’exécuter le partage et la demande ne peut qu’être déclarée irrecevable et transmise d’office au Tribunal de première instance du canton de Genève (ATAS/85/2018), sans instruction préalable, comme l’art. 72 LPA le permet. Pour le surplus, la procédure est gratuite.</w:t>
      </w:r>
    </w:p>
    <w:p>
      <w:r>
        <w:t>A/1493/2020 - 4/4 -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