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ATAS/473/2014 vom 7. April 2014</w:t>
      </w:r>
    </w:p>
    <w:p>
      <w:r>
        <w:t>GE Cour de justice, 2014-04-07, FR</w:t>
      </w:r>
    </w:p>
    <w:p>
      <w:r>
        <w:rPr>
          <w:b/>
        </w:rPr>
        <w:t xml:space="preserve">Quelle: </w:t>
      </w:r>
      <w:r>
        <w:t>https://mcp.opencaselaw.ch/entscheid/ge_gerichte_ATAS_473_2014</w:t>
      </w:r>
    </w:p>
    <w:p>
      <w:r>
        <w:t>FR: GE_GERICHTE ATAS/473/2014 du 7 avril 2014</w:t>
      </w:r>
    </w:p>
    <w:p>
      <w:r>
        <w:t>IT: GE_GERICHTE ATAS/473/2014 del 7 aprile 2014</w:t>
      </w:r>
    </w:p>
    <w:p>
      <w:pPr>
        <w:pStyle w:val="Heading2"/>
      </w:pPr>
      <w:r>
        <w:t>Erwägungen</w:t>
      </w:r>
    </w:p>
    <w:p>
      <w:r>
        <w:rPr>
          <w:b/>
        </w:rPr>
        <w:t>E. 1</w:t>
      </w:r>
    </w:p>
    <w:p>
      <w:r>
        <w:t>Conformément à l'art. 134 al. 1 let. a ch. 2 de la loi sur l'organisation judiciaire du 26 septembre 2010 (LOJ; RGS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Le recours, interjeté dans les délai et forme légaux, est recevable (art. 56ss LPGA).</w:t>
      </w:r>
    </w:p>
    <w:p>
      <w:r>
        <w:rPr>
          <w:b/>
        </w:rPr>
        <w:t>E. 4</w:t>
      </w:r>
    </w:p>
    <w:p>
      <w:r>
        <w:t>Le litige est limité au point de savoir si l'intimé était fondé à refuser d'entrer en matière sur la nouvelle demande de prestations. A ce stade de la procédure, la Cour de céans n’a en revanche pas à examiner si les conditions du droit aux prestations sont remplies, de sorte qu’elle ne statuera pas sur la demi-rente dont la recourante sollicite l’octroi.</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Si les allégations de l'assuré ne sont pas plausibles, l'affaire est liquidée d'entrée de cause et sans autres investigations par un refus d'entrée en matière. A cet égard,</w:t>
      </w:r>
    </w:p>
    <w:p>
      <w:r>
        <w:t>A/2699/2013 - 10/14 -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w:t>
      </w:r>
    </w:p>
    <w:p>
      <w:r>
        <w:rPr>
          <w:b/>
        </w:rPr>
        <w:t>E. 6</w:t>
      </w:r>
    </w:p>
    <w:p>
      <w:r>
        <w:t>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 ATF non publié 9C_1012/2008 du 30 juin 2009, consid. 2). La jurisprudence considère que l’administration n’est pas entrée en matière sur une demande de reconsidération lorsqu’elle se borne à procéder à un examen sommaire de la requête et répète les motifs invoqués dans la décision initiale (ATF 117 V 8 consid. 2b/aa; ATF non publié 8C_866/2009 du 27 avril 2010, consid. 2.2). Ainsi lorsque l’OAI soumet le dossier de l’assurée au SMR et renonce à des investigations complémentaires, il n’entre pas en matière au sens de l’art. 87 RAI (ATF non publié 9C_516/2012 du 3 janvier 2013, consid. 4.1).</w:t>
      </w:r>
    </w:p>
    <w:p>
      <w:r>
        <w:rPr>
          <w:b/>
        </w:rPr>
        <w:t>E. 7</w:t>
      </w:r>
    </w:p>
    <w:p>
      <w:r>
        <w:t>Le principe inquisitoire, selon lequel les faits pertinents de la cause doivent être constatés d'office par l'autorité (ATF 125 V 193 consid. 2), ne s'applique pas à la procédure de l'art. 87 al. 3 RAI. Eu égard au caractère atypique de celle-ci dans le</w:t>
      </w:r>
    </w:p>
    <w:p>
      <w:r>
        <w:t>A/2699/2013 - 11/14 - droit des assurances sociales, le Tribunal fédéral des assurances a précisé que l'administration pouvait appliquer par analogie l'art. 73 aRAI, depuis repris à l’art. 43 al. 3 LPGA, qui permet aux organes de l'AI de statuer en l'état du dossier en cas de refus de l'assuré de coopérer, à la procédure régie par l'art. 87 al. 3 RAI, à la condition de s'en tenir aux principes découlant de la protection de la bonne foi (ATF non publié 9C_970/2010 du 30 mars 2011, consid. 3.3).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w:t>
      </w:r>
    </w:p>
    <w:p>
      <w:r>
        <w:rPr>
          <w:b/>
        </w:rPr>
        <w:t>E. 8</w:t>
      </w:r>
    </w:p>
    <w:p>
      <w:r>
        <w:t>En l’espèce, le certificat d’hospitalisation joint à la nouvelle demande ne suffit pas à rendre plausible une aggravation de l’état de santé de la recourante, dès lors qu’on ignore quelle en est la cause. La mention de dialyses dans la fiche de transfert des HUG ne mentionnant pas l’atteinte qui est à leur origine, elle n’y suffit pas non plus. Conformément à la jurisprudence citée, la recourante ne pouvait pas non plus se borner à inviter l’intimé à se renseigner auprès de la Dresse S__________. Cela étant, la nouvelle demande de prestations était signée par la recourante mais mentionnait que l’assistant social de cette dernière devait être contacté pour plus de précisions.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L’existence d’une procuration écrite n’est pas une condition formelle nécessaire pour admettre le rapport de représentation dans la procédure administrative fédérale. L’art. 11 al. 2 de la loi sur la procédure administrative (PA ; RS 172.021) dispose simplement que l'autorité peut exiger du mandataire qu'il justifie de ses pouvoirs par une procuration écrite. Ainsi, une procuration orale ou découlant d’actes concluants est également valable (ATF 99 V 177 consid. 3). Ce principe vaut également dans le domaine des assurances sociales. L’assureur est libre d’exiger une procuration écrite. A cet effet, il impartit un délai et doit adresser la demande de procuration tant à l’assuré qu’à son représentant. (Ueli KIESER, ATSG-Kommentar: Kommentar zum Bundesgesetz über den Allgemeinen Teil des Sozialversicherungsrechts vom 6. Oktober 2000, 2ème éd., Zurich 2009, nn. 11 et 12 ad art. 37). Le principe visé à l’art. 37 al. 3 LPGA tend, dans l’intérêt de la sécurité du droit, à écarter tout doute sur le point de savoir si la communication doit être adressée à la partie ou à son représentant et de déterminer quelles sont les</w:t>
      </w:r>
    </w:p>
    <w:p>
      <w:r>
        <w:t>A/2699/2013 - 12/14 - communications qui font partir les délais (ATF non publié 9C_ 791/2010 du</w:t>
      </w:r>
    </w:p>
    <w:p>
      <w:r>
        <w:rPr>
          <w:b/>
        </w:rPr>
        <w:t>E. 10</w:t>
      </w:r>
    </w:p>
    <w:p>
      <w:r>
        <w:t>Eu égard à ce qui précède, le recours est admis dans la mesure où il est recevable. La recourante a droit à des dépens, qu’il convient de fixer à 1'500 fr. (art. 61 let. g LPGA). La procédure en matière d'assurance-invalidité n'étant pas gratuite (art. 69 al. 1bis LAI), un émolument de 500 fr. sera mis à la charge de l'intimé, qui succombe.</w:t>
      </w:r>
    </w:p>
    <w:p>
      <w:r>
        <w:t>A/2699/2013 - 14/14 -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