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ATAS/473/2011 vom 12. Mai 2011</w:t>
      </w:r>
    </w:p>
    <w:p>
      <w:r>
        <w:t>GE Cour de justice, 2011-05-12, FR</w:t>
      </w:r>
    </w:p>
    <w:p>
      <w:r>
        <w:rPr>
          <w:b/>
        </w:rPr>
        <w:t xml:space="preserve">Quelle: </w:t>
      </w:r>
      <w:r>
        <w:t>https://mcp.opencaselaw.ch/entscheid/ge_gerichte_ATAS_473_2011</w:t>
      </w:r>
    </w:p>
    <w:p>
      <w:r>
        <w:t>FR: GE_GERICHTE ATAS/473/2011 du 12 mai 2011</w:t>
      </w:r>
    </w:p>
    <w:p>
      <w:r>
        <w:t>IT: GE_GERICHTE ATAS/473/2011 del 12 maggio 2011</w:t>
      </w:r>
    </w:p>
    <w:p>
      <w:pPr>
        <w:pStyle w:val="Heading2"/>
      </w:pPr>
      <w:r>
        <w:t>Erwägungen</w:t>
      </w:r>
    </w:p>
    <w:p>
      <w:r>
        <w:rPr>
          <w:b/>
        </w:rPr>
        <w:t>E. 22</w:t>
      </w:r>
    </w:p>
    <w:p>
      <w:r>
        <w:t>La recourante contesta cette décision par acte du 13 mars 2011, déposé à la poste le 14 mars 2011. Elle détailla à nouveau ses différents symptômes et revint sur son anamnèse. Elle indiqua que son assistante sociale pouvait témoigner de son état de santé. Elle déclarait ainsi faire recours contre la décision de l’OAI du 14 février 2011.</w:t>
      </w:r>
    </w:p>
    <w:p>
      <w:r>
        <w:rPr>
          <w:b/>
        </w:rPr>
        <w:t>E. 23</w:t>
      </w:r>
    </w:p>
    <w:p>
      <w:r>
        <w:t>L’OAI répondit par acte du 5 avril 2011, rappelant qu’une expertise pluridisciplinaire avait été mise sur pied auprès de la PMU, le rapport des experts ayant été établi de manière circonstanciée par des spécialistes, au terme d’une étude attentive et complète du dossier et que le diagnostic était clair, les conclusions motivées et exemptes de contradiction, de sorte que l’expertise revêtait une pleine valeur probante. La recourante contestait les conclusions des experts tout en n’apportant aucun élément probant susceptible de remettre en cause ladite expertise et ses conclusions. Par ailleurs, l’évaluation des experts était conforme aux appréciations du Dr. L__________, médecin traitant, lequel ne retenait quant à lui, aucun diagnostic avec répercussion sur la capacité de travail et précisait que les problèmes de la recourante étaient surtout familiaux, conjugaux et économiques. Le Département de chirurgie plastique et reconstructive des HUG avait informé l’OAI que l’intervention n’était pas à l’origine de la demande AI et que le dernier contrôle était satisfaisant. Enfin, les Drs Q_________ et S_________ n’avaient jamais attesté d’incapacité de travail.</w:t>
      </w:r>
    </w:p>
    <w:p>
      <w:r>
        <w:t>A/777/2011 - 8/12 - L’OAI conclut ainsi au rejet du recours et à la confirmation de la décision attaquée.</w:t>
      </w:r>
    </w:p>
    <w:p>
      <w:r>
        <w:rPr>
          <w:b/>
        </w:rPr>
        <w:t>E. 24</w:t>
      </w:r>
    </w:p>
    <w:p>
      <w:r>
        <w:t>Sur quoi, la cause fut gardée à juger.</w:t>
      </w:r>
    </w:p>
    <w:p>
      <w:r>
        <w:t>EN DROIT 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loi fédérale sur la partie générale du droit des assurances sociales du 6 octobre 2000 (ci-après : LPGA), entrée en vigueur le 1er janvier 2003, est applicable en l’espèce. 3. Adressé à la Chambre des assurances sociales de la Cour de Justice par pli postal du 14 mars 2011, le recours contre la décision de l’OAI du 14 février 2011 intervient en temps utile (art. 60 al. 1 LPGA). Les autres conditions prévues par les art. 56 et ss LPGA sont réalisées, dès lors que l’on comprend de l’acte de recours, malgré sa brièveté et l’absence de conclusions formulées comme le ferait un avocat, quelle est la décision contestée et que la recourante remet en cause la capacité de travail retenue dans le cadre de ladite décision. Le recours est ainsi recevable. 4. Le litige porte sur le point de savoir si c’est à bon droit que l’OAI a nié le droit de la recourante aux prestations de l’assurance-invalidité et en particulier sur la capacité de travail retenue par l’administration, capacité que la recourante conteste. 5.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w:t>
      </w:r>
    </w:p>
    <w:p>
      <w:r>
        <w:t>A/777/2011 - 9/12 -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w:t>
      </w:r>
    </w:p>
    <w:p>
      <w:r>
        <w:t>A/777/2011 - 10/12 -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 6.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7. En l’espèce, la recourante ne saurait être suivie lorsqu’elle critique l’avis des experts de la PMU. D’une part, l’avis de ces experts est détaillé, circonstancié, expliqué et convainquant. D’autre part, il tient compte des différents éléments mis en avant par la recourante dans son acte de recours du 13 mars 2011, et plus généralement (sur environ deux pages) des différentes plaintes de la recourante. De surcroit, aucun avis médical, pas même celui de son médecin traitant, le Dr L__________, ne contredit l’expertise. En effet, si ce médecin délivre régulièrement des certificats d’incapacité de travail, il ne retient toutefois aucun diagnostic avec répercussion sur la capacité de travail. Il apparaît que selon ce médecin, l’incapacité de travail est liée à des facteurs familiaux, conjugaux et</w:t>
      </w:r>
    </w:p>
    <w:p>
      <w:r>
        <w:t>A/777/2011 - 11/12 - économiques, qui ne peuvent êtres pris en compte dans le cadre de l’assurance- invalidité. Enfin, l’audition d’une assistante sociale est d’emblée inutile pour élucider des faits d’ordre médicaux, faute pour cette dernière de disposer de compétences suffisantes en la matière. C’est ainsi à bon droit que l’OAI s’est fondé sur l’avis des experts de la PMU, avis dont il n’y a pas lieu de se distancer. Comme la recourante est en mesure d'exercer - certes avec une capacité de travail limitée - son activité habituelle, il est possible de procéder à une comparaison en pour cent pour évaluer la perte de gain et, partant, l'invalidité (cf. ATF 114 V 310 consid. 3a p. 313 et les références). En effet, l'étendue de la perte de gain résultant de son incapacité de travail représente nécessairement un pourcentage entre le salaire qu'elle aurait touché si elle était demeurée en bonne santé et le salaire qu'elle est actuellement en mesure d'obtenir. Le taux d’invalidité retenu par l’OAI n’est ainsi pas critiquable non plus. Il s’en suit que la décision du 14 février 2011 est conforme au droit et le recours du 13 mars 2011 mal fondé. 8. Le recours sera ainsi rejeté. 9. Un émolument de 200 fr. est mis à charge de la recourante, qui succombe (art. 69 al. 1bis LAI)</w:t>
      </w:r>
    </w:p>
    <w:p>
      <w:r>
        <w:t>A/777/2011 - 12/12 -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