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ATAS/472/2010 vom 4. Mai 2010</w:t>
      </w:r>
    </w:p>
    <w:p>
      <w:r>
        <w:t>GE Cour de justice, 2010-05-04, FR</w:t>
      </w:r>
    </w:p>
    <w:p>
      <w:r>
        <w:rPr>
          <w:b/>
        </w:rPr>
        <w:t xml:space="preserve">Quelle: </w:t>
      </w:r>
      <w:r>
        <w:t>https://mcp.opencaselaw.ch/entscheid/ge_gerichte_ATAS_472_2010</w:t>
      </w:r>
    </w:p>
    <w:p>
      <w:r>
        <w:t>FR: GE_GERICHTE ATAS/472/2010 du 4 mai 2010</w:t>
      </w:r>
    </w:p>
    <w:p>
      <w:r>
        <w:t>IT: GE_GERICHTE ATAS/472/2010 del 4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Le recours, déposé en temps utile compte tenu de la suspension des délais du 15 juillet au 15 août, est recevable.</w:t>
      </w:r>
    </w:p>
    <w:p>
      <w:r>
        <w:t>A/3233/2009 - 9/14 -</w:t>
      </w:r>
    </w:p>
    <w:p>
      <w:r>
        <w:rPr>
          <w:b/>
        </w:rPr>
        <w:t>E. 4</w:t>
      </w:r>
    </w:p>
    <w:p>
      <w:r>
        <w:t>Le litige porte sur l'amélioration de l'état de santé de l'assurée et ses conséquences sur sa capacité de travail.</w:t>
      </w:r>
    </w:p>
    <w:p>
      <w:r>
        <w:rPr>
          <w:b/>
        </w:rPr>
        <w:t>E. 5</w:t>
      </w:r>
    </w:p>
    <w:p>
      <w:r>
        <w:t>a) Aux termes de l'art. 4 LAI,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c)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w:t>
      </w:r>
    </w:p>
    <w:p>
      <w:r>
        <w:t>A/3233/2009 - 10/14 -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d)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soit lié à l’assureur par un rapport de travail ne permet pas encore de douter de l’objectivité de son</w:t>
      </w:r>
    </w:p>
    <w:p>
      <w:r>
        <w:t>A/3233/2009 - 11/14 -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Si l’administration ou le juge, se fondant sur une appréciation consciencieuse des preuves fournies par les investigations auxquelles ils doivent procéder d’office, est convaincu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 Cst. étant toujours valable (ATF 124 V 94 consid. 4b, 122 V 162 consid. 1d).</w:t>
      </w:r>
    </w:p>
    <w:p>
      <w:r>
        <w:rPr>
          <w:b/>
        </w:rPr>
        <w:t>E. 6</w:t>
      </w:r>
    </w:p>
    <w:p>
      <w:r>
        <w:t>Dans le cas d'espèce, il y a lieu de comparer la situation lors de la décision initiale, en décembre 2001, avec celle prévalant lors de la décision dont est recours, en juillet 2009. Le taux d'invalidité de 71% est fondé sur une incapacité de travail de 100% (sur une part de 58,75%) et un empêchement d'effectuer des tâches ménagères de 29%, sur la base des diagnostics retenus par le Dr A_________, soit de nécrose aseptique des deux scaphoïdes tarsiens (droite et gauche), un syndrome de Muller Weiss, d'obésité morbide (BMI&gt;30) et d'un état dépressif chronique, la patiente ayant subi une arthrodèse scapho-cuneo I-II-III-astragalienne du pied gauche avec pose de greffe iliaque du côté gauche le 24 mars 2000, sans amélioration des douleurs du côté opéré qui limitent la station debout et la marche. La maladie de Muller Weiss, présente de longue date, avait été aggravée lors d'une prise de poids importante durant la grossesse. En juillet 2009, les diagnostics indiqués par le médecin traitant et admis par l'expert du SMR sont : nécrose aseptique bilatérale du scaphoïde tarsien ; status post arthrodèse scapho-cunéo-astragalienne gauche ; à gauche, arthrose astragalo- calcanéenne avancée secondaire ; du côté droit, la nécrose aseptique du scaphoïde entraîne une surcharge au niveau de l'articulation entre le scaphoïde et le cunéiforme, avec une arthrose modérée. Les limitations fonctionnelles retenues par les deux médecins sont : pas de position statique debout plus de trente minutes ; pas de montée-descente répétée d'escaliers ; pas de position accroupie ; pas de marche au-delà de trente minutes, ou l'équivalent d'un périmètre de marche supérieur à 1,5 km ; pas de port de charges au-delà de 10 kg. De plus, le Dr A_________</w:t>
      </w:r>
    </w:p>
    <w:p>
      <w:r>
        <w:t>A/3233/2009 - 12/14 - confirme que l'état dépressif chronique n'a pas d'effet sur la capacité de travail de sa patiente. Leurs avis divergent quant aux conséquences de la perte de poids. Le Dr C_________ estime que le passage de 100 à 70 kg a une influence notable sur les douleurs liées aux problèmes des pieds. Le Dr A_________ admet d'abord une diminution importante des douleurs suite au by-pass et à la perte de poids, mais pondère cette appréciation par la reprise de 15 kg et les autres douleurs apparues aux genoux et aggravées à l'autre pied. Cependant, lors de la demande initiale en 2000, il admet que l'importante prise de poids à l'époque a aggravé l'état de santé et les douleurs aux pieds. Il convient donc d'admettre que la perte de poids de 30 kg, mais aussi de 15 kg, limite les douleurs des pieds et des genoux. Les deux médecins divergent aussi sur la capacité de travail de l'assurée : l'expert estime qu'elle est de 100% dans une activité adaptée, le médecin traitant fait état d'une baisse de rendement de 30%, tout en précisant qu'une activité respectant les limitations fonctionnelles n'existe pas sur le marché du travail. Cependant, le Dr B_________, qui n'est ni le médecin traitant de l'assurée, ni l'expert mandaté par l'OAI, indique d'une part que les limitations fonctionnelles sont les mêmes pour les pieds, le genou et le rachis, s'agissant de douleurs, et que la capacité de travail dans une activité adaptée est de 100%, rejoignant ainsi les conclusions du Dr C_________. Le Tribunal admettra que l'assurée dispose d'une capacité de travail entière dans une activité adaptée, respectant toutes les limitations fonctionnelles décrites, comme un emploi en qualité de caissière, par exemple. En effet, les éléments avancés par le médecin traitant ne remettent pas suffisamment en doute les avis convergents des deux autres spécialistes pour ordonner une expertise judiciaire. Malgré l'empathie évidente et tout à fait normale du Dr A_________ pour sa patiente, il ne prétend pas qu'elle serait totalement incapable de travailler et, en retenant une baisse de rendement de 30%, il admet donc une capacité de travail de 70% à 80%. Les limitations fonctionnelles qu'il avance sont compatibles avec une activité assise. Il prétend que la situation serait restée globalement stationnaire de 2000 à 2009 et qu'il a toujours existé une capacité de travail résiduelle identique. Cela aurait pu justifier une reconsidération de la décision initiale, mais le Tribunal estime toutefois que cela ne sera pas nécessaire, les avis convergents des Drs C_________ et B_________ emportant sa conviction, s'agissant de l'amélioration des conséquences sur la capacité de travail de l'état de santé de l'assurée. Le fait que les empêchements dans la sphère ménagère soient restés globalement de même ampleur (29% en 2001 et 25% en 2009) n'est pas étonnant, dès lors que ce sont essentiellement les tâches pour lesquelles la station debout ou la marche sont nécessaires qui sont difficiles. Cela n'est pas contradictoire avec les conclusions du Dr E_________ et du SMR qui admettent que l'assurée ne peut plus exercer son</w:t>
      </w:r>
    </w:p>
    <w:p>
      <w:r>
        <w:t>A/3233/2009 - 13/14 - métier de nettoyeuse à plus de 25%. S'agissant du pourcentage retenu au titre des empêchements, il tient compte de l'aide apportée par les membres de la famille, conformément aux exigences de la jurisprudence en la matière et sans excès. Il y a donc lieu de considérer que l'état de santé, ou en tout cas les conséquences de cet état sur sa capacité de travail, du fait des effets de la perte de poids, même limitée, ont notablement changé entre 2001 et 2009, sur la base de l'expertise ordonnée par le SMR et de l'avis du Dr B_________, ce qui justifie la révision. Il convient encore de tenir compte de la modification des proportions entre la part ménagère et professionnelle entre 2001 et 2009 (40%-60% en 2001 et 20%-80% en 2009), selon les indications de l'assurée. En procédant au calcul le plus favorable à l'assurée, soit en ne tenant pas compte des statistiques différentes qui lui sont défavorables (les salaires étant plus élevés dans la vente de détail que dans le nettoyage), en admettant une diminution de rendement de 20%, ainsi que l'abattement retenu par l'OAI de 10%, qui tient suffisamment compte des divers éléments pertinents, le taux d'invalidité en 2009 peut être établi comme suit : o Salaire sans invalidité: ESS 2008, TA1, niveau 4, femme, compte tenu d'un horaire de 41,7 heures : 4'306 fr ; o Revenu avec invalidité : le même avec un rendement réduit de 20% et un abattement de 10% : 3'014fr., soit un taux de 30% ; o Part professionnelle : 30% x 80% : 24% ; o Part ménagère : 25% x 20% : 5% ; o Taux d'invalidité de 29%. À noter que la diminution de rendement retenue est contestable, le taux d'invalidité est ainsi de 13% sans ce facteur. Cela étant, ces deux taux étant inférieurs à 40%, ils n'ouvrent pas de droit à la rente.</w:t>
      </w:r>
    </w:p>
    <w:p>
      <w:r>
        <w:rPr>
          <w:b/>
        </w:rPr>
        <w:t>E. 7</w:t>
      </w:r>
    </w:p>
    <w:p>
      <w:r>
        <w:t>L'OAI était ainsi fondé à supprimer la rente par décision du 6 juillet 2009. Le recours est donc rejeté et un émolument de 200 fr. est mis à charge de l'assurée.</w:t>
      </w:r>
    </w:p>
    <w:p>
      <w:r>
        <w:t>A/3233/2009 - 14/14 -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