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ATAS/471/2023 vom 22. Juni 2023</w:t>
      </w:r>
    </w:p>
    <w:p>
      <w:r>
        <w:t>GE Cour de justice, 2023-06-22, FR</w:t>
      </w:r>
    </w:p>
    <w:p>
      <w:r>
        <w:rPr>
          <w:b/>
        </w:rPr>
        <w:t xml:space="preserve">Quelle: </w:t>
      </w:r>
      <w:r>
        <w:t>https://mcp.opencaselaw.ch/entscheid/ge_gerichte_ATAS_471_2023</w:t>
      </w:r>
    </w:p>
    <w:p>
      <w:r>
        <w:t>FR: GE_GERICHTE ATAS/471/2023 du 22 juin 2023</w:t>
      </w:r>
    </w:p>
    <w:p>
      <w:r>
        <w:t>IT: GE_GERICHTE ATAS/471/2023 del 22 giugno 2023</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À teneur de l’art. 1 al. 1 LAVS, les dispositions de la LPGA s’appliquent, aux art. 1 à 97 LAVS, à moins que la loi n’y déroge expressément.</w:t>
      </w:r>
    </w:p>
    <w:p>
      <w:r>
        <w:rPr>
          <w:b/>
        </w:rPr>
        <w:t>E. 3</w:t>
      </w:r>
    </w:p>
    <w:p>
      <w:r>
        <w:t>Le délai de recours est de 30 jours (art. 56 LPGA ; art. 62 al. 1 de la loi sur la procédure administrative du 12 septembre 1985 [LPA - E 5 10]). Interjeté dans la forme et le délai prévus par la loi, compte tenu du fait que le pli recommandé n’a pas été retiré auprès de l’office postal, le recours est recevable.</w:t>
      </w:r>
    </w:p>
    <w:p>
      <w:r>
        <w:rPr>
          <w:b/>
        </w:rPr>
        <w:t>E. 4</w:t>
      </w:r>
    </w:p>
    <w:p>
      <w:r>
        <w:t>Le litige porte sur les cotisations réclamées à la recourante, à titre de reprise des salaires, pour les années 2016, 2017, 2018 et 2019.</w:t>
      </w:r>
    </w:p>
    <w:p>
      <w:r>
        <w:rPr>
          <w:b/>
        </w:rPr>
        <w:t>E. 5.1</w:t>
      </w:r>
    </w:p>
    <w:p>
      <w:r>
        <w:t>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(ATF 140 V 241 consid. 4.2 et les références). Les rapports de droit civil peuvent certes fournir, éventuellement, quelques indices, mais ils ne sont pas déterminants. D’une manière générale, est réputé salarié celui qui dépend d’un employeur quant à l’organisation du travail et du point de vue de l’économie de l’entreprise, et ne supporte pas le risque encouru par l’entrepreneur (ATF 123 V 161 consid. 1 ; arrêt du Tribunal fédéral 9C_796/2014 du 27 avril 2015 consid. 3.2). Ces principes ne conduisent cependant pas, à eux seuls, à des solutions uniformes, applicables de manière schématique.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w:t>
      </w:r>
    </w:p>
    <w:p>
      <w:r>
        <w:t>A/686/2023 - 5/11 - demandera quels éléments sont prédominants dans le cas considéré (ATF 140 V 108 consid. 6 ; ATF 123 V 161 consid. 1 et les références). Il n’existe toutefois aucune présomption juridique en faveur de l’activité salariée ou indépendante (Directives sur le salaire déterminant dans l’AVS, AI et APG [ci-après : DSD], édictées par l’office fédéral des assurances sociales [ci-après : l’OFAS], ch. 1020). La notion de dépendance englobe les rapports créés par un contrat de travail, mais elle les déborde largement (GREBER, DUC, SCARTAZZINI, Commentaire des art. 1 à 16 de la loi fédérale sur l’assurance- vieillesse et survivants, 1997, n. 94 ad art. 4 LAVS et les références). Il peut en effet arriver qu’un tribunal civil qualifie une relation juridique de mandat ou de contrat d’entreprise, alors que l’assureur ou le juge social la considère comme un cas d’activité lucrative dépendante (cf. ATF 97 V 134 consid. 3 ; Jean-Philippe DUNAND, in Commentaire romand de la LPGA, n. 56 ad art. 10).</w:t>
      </w:r>
    </w:p>
    <w:p>
      <w:r>
        <w:rPr>
          <w:b/>
        </w:rPr>
        <w:t>E. 5.2</w:t>
      </w:r>
    </w:p>
    <w:p>
      <w:r>
        <w:t>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On citera également la prohibition de faire concurrence et le devoir de présence (cf. DSD, ch. 1015). Un autre élément permettant de qualifier la rétribution compte tenu du lien de dépendance de celui qui la perçoit est le fait qu’il s’agit d’une collaboration régulière, autrement dit que l’employé est régulièrement tenu de fournir ses prestations au même employeur (arrêt du Tribunal fédéral 9C_1062/2010 du 5 juillet 2011 consid. 7.2 ; arrêt du Tribunal fédéral des assurances H 334/03 du 10 janvier 2005 consid. 6.2.1). En outre, la possibilité pour le travailleur d’organiser son horaire de travail ne signifie pas nécessairement qu’il s’agit d’une activité indépendante (arrêt du Tribunal fédéral des assurances H 6/05 du 19 mai 2006 consid. 2.3).</w:t>
      </w:r>
    </w:p>
    <w:p>
      <w:r>
        <w:rPr>
          <w:b/>
        </w:rPr>
        <w:t>E. 5.3</w:t>
      </w:r>
    </w:p>
    <w:p>
      <w:r>
        <w:t>Le risque économique encouru par l’entrepreneur peut être défini comme étant celui que court la personne qui doit compter, en raison d’évaluations ou de comportements professionnels inadéquats, avec des pertes de la substance économique de l’entreprise. Constituent notamment des indices révélant l’existence d’un risque économique d’entrepreneur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(arrêt du Tribunal fédéral des assurances H 6/05 du 19 mai 2006 consid. 2.3). On peut donner une importance prépondérante soit au critère du risque économique soit à celui du rapport de dépendance, ou à leurs manifestations respectives, suivant les circonstances (DSD, ch. 1024). Ainsi, certaines activités économiques, notamment dans le domaine des services, n’exigent pas, de par leur</w:t>
      </w:r>
    </w:p>
    <w:p>
      <w:r>
        <w:t>A/686/2023 - 6/11 - nature, d’investissements importants ou de faire appel à du personnel. En pareilles circonstances, il convient d’accorder moins d’importance au critère du risque économique de l’entrepreneur et davantage à celui de l’indépendance économique et organisationnelle (arrêt du Tribunal fédéral 9C_364/2013 du 23 septembre 2013 consid. 2.2).</w:t>
      </w:r>
    </w:p>
    <w:p>
      <w:r>
        <w:rPr>
          <w:b/>
        </w:rPr>
        <w:t>E. 5.4</w:t>
      </w:r>
    </w:p>
    <w:p>
      <w:r>
        <w:t>Un autre facteur concourant à la reconnaissance d’un statut d’indépendant est l’exercice simultané d’activités pour plusieurs sociétés sous son propre nom, sans qu’il y ait dépendance à l’égard de celles-ci (RCC 1982 p. 208). À cet égard, ce n’est pas la possibilité juridique d’accepter des travaux de plusieurs mandants qui est déterminante, mais la situation de mandat effective (cf. RCC 1982 p. 176 consid. 2b). En revanche, on part de l’idée qu’il y a activité dépendante quand des caractéristiques typiques du contrat de travail existent, c’est-à-dire quand l’assuré fournit un travail dans un délai donné, est économiquement dépendant de l’« employeur » et, pendant la durée du travail, est intégré dans l’entreprise de celui-ci, et ne peut ainsi pratiquement exercer aucune autre activité lucrative (REHBINDER, Schweizerisches Arbeitsrecht, 12e éd. p. 34 ss ; VISCHER, Der Arbeitsvertrag, SPR VII/1 p. 306). Les indices en ce sens sont l’existence d’un plan de travail déterminé, la nécessité de faire rapport sur l’état des travaux, ainsi que la dépendance de l’infrastructure sur le lieu de travail (RCC 1986 p. 126 consid. 2b, RCC 1986 p. 347 consid. 2d) ou, en cas d’activité régulière, dans le fait qu’en cas de cessation de ce rapport de travail, il se retrouve dans une situation semblable à celle d’un salarié qui perd son emploi (ATF 122 V 169 consid. 3c ; Pratique VSI 5/1996 p. 258).</w:t>
      </w:r>
    </w:p>
    <w:p>
      <w:r>
        <w:rPr>
          <w:b/>
        </w:rPr>
        <w:t>E. 5.5</w:t>
      </w:r>
    </w:p>
    <w:p>
      <w:r>
        <w:t>Lorsqu’un assuré exerce simultanément plusieurs activités, on se demandera, à propos de chacun des revenus touchés, s’il provient d’une activité indépendante ou d’une activité salariée. Il est parfaitement possible qu’un assuré travaille en même temps pour une entreprise en qualité de salarié et pour une autre comme indépendant. Par conséquent, il se peut aussi que l’assuré travaille pour la même entreprise, mais dans des secteurs différents, comme salarié et comme indépendant. On ne considère donc pas le caractère prédominant de l’activité dans son ensemble. Une telle manière de qualifier celle-ci n’est pas prévue par la loi, et n’est pas non plus nécessaire pour des raisons pratiques. Il faut, bien plutôt, examiner séparément les diverses activités, et les cotisations en cause seront perçues d’après la qualification de ces activités (RCC 1979 p. 149 consid. 3b). Sont toutefois réservés les aspects relatifs à la coordination dans le cas de personnes exerçant la même activité lucrative pour différents employeurs ou mandants ou exerçant différentes activités lucratives pour le même employeur ou le même mandant. Dans ces situations, il y a lieu d’éviter autant que possible que ces activités soient qualifiées de manière différente, c’est-à-dire en partie comme une activité salariée et en partie comme une activité indépendante (arrêt du Tribunal fédéral H 194/05 du 19 mars 2007 consid. 7.4 ; Michel VALTERIO,</w:t>
      </w:r>
    </w:p>
    <w:p>
      <w:r>
        <w:t>A/686/2023 - 7/11 - Droit de l’assurance-vieillesse et survivants (AVS) et de l’assurance-invalidité (AI), Commentaire thématique, p. 96 n. 297).</w:t>
      </w:r>
    </w:p>
    <w:p>
      <w:r>
        <w:rPr>
          <w:b/>
        </w:rPr>
        <w:t>E. 6</w:t>
      </w:r>
    </w:p>
    <w:p>
      <w:r>
        <w:t>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w:t>
      </w:r>
    </w:p>
    <w:p>
      <w:r>
        <w:t>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131 V 446 consid. 1.1, 128 V 180 consid. 3c, 126 V 222 consid. 4a, 124 V 101 consid. 2 et la jurisprudence citée).</w:t>
      </w:r>
    </w:p>
    <w:p>
      <w:r>
        <w:rPr>
          <w:b/>
        </w:rPr>
        <w:t>E. 7</w:t>
      </w:r>
    </w:p>
    <w:p>
      <w:r>
        <w:t>En ce qui concerne les personnes domiciliées à l’étranger qui travaillent pour une société suisse, l’art. 11 al. 3 let. a du règlement (CE) n° 883/2004 du Parlement européen et du Conseil du 29 avril 2004 portant sur la coordination des systèmes de sécurité sociale, modifié par le règlement (CE) n° 988/2009 du Parlement européen et du Conseil du 16 septembre 2009 (règlement n° 883/2004 – RS 0.831.109.268.1 [ci-après : Règlement 883/2004]), prévoit que la personne qui exerce une activité salariée ou non salariée dans un État membre est soumise à la législation de cet État membre.</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8.2</w:t>
      </w:r>
    </w:p>
    <w:p>
      <w:r>
        <w:t>La procédure dans le domaine des assurances sociales est régie par le principe inquisitoire d'après lequel les faits pertinents de la cause doivent être constatés d'office par l'assureur (art. 43 al. 1 LPGA) ou, éventuellement, par le juge</w:t>
      </w:r>
    </w:p>
    <w:p>
      <w:r>
        <w:t>A/686/2023 - 8/11 -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à la réalité (ATF 139 V 176 consid. 5.2 et les références).</w:t>
      </w:r>
    </w:p>
    <w:p>
      <w:r>
        <w:rPr>
          <w:b/>
        </w:rPr>
        <w:t>E. 9</w:t>
      </w:r>
    </w:p>
    <w:p>
      <w:r>
        <w:t>En l’espèce, l’intimée fonde ses décisions de reprises sur les documents examinés lors du contrôle d’employeur effectué en date du 20 septembre 2021 ainsi que ceux qui ont été transmis postérieurement, suite aux nombreuses demandes et relances de la CCGC. Les décisions de reprises mentionnent les postes qui font l’objet de reprises de salaire et établissent le montant des cotisations sociales non versées par la recourante. La recourante, de son côté, allègue dans son recours avoir transmis les pièces à sa disposition et n’être pas responsable du paiement des cotisations pour les personnes qui ne seraient pas domiciliées en Suisse. Selon elle, ce type de paiement est courant dans le domaine des discothèques, pour des musiciens, des DJs et des membres du service de sécurité. À l’appui de son recours, la société ne fournit aucune pièce.</w:t>
      </w:r>
    </w:p>
    <w:p>
      <w:r>
        <w:rPr>
          <w:b/>
        </w:rPr>
        <w:t>E. 9.1</w:t>
      </w:r>
    </w:p>
    <w:p>
      <w:r>
        <w:t>Les DSD éditées par l’OFAS réservent un chapitre aux « Musiciens, artistes et DJ’s » aux ch. 4034 à 4041. La rétribution versée à des musiciens qui jouent dans des établissements de spectacles, des hôtels, des dancings, des cabarets soit comme membres d’un orchestre ou comme musicien isolé (pianiste de bar) fait partie du salaire déterminant, sans égard au fait que l’intéressé exerce son activité à titre de profession principale (musicien professionnel) ou de profession accessoire. Les rétributions que les organisateurs de concerts (sociétés d’orchestre, sociétés de musique) allouent à des auxiliaires (renforts) engagés pour une série de répétitions et d’exécutions, font partie du salaire déterminant. L’employeur est l’organisateur du concert. Un montant forfaitaire de 50 pour cent peut être déduit des rétributions obtenues par les musiciens sans domicile ni séjour en Suisse au regard du droit fiscal fédéral comme dédommagement pour frais encourus. En règle générale, est considéré comme séjournant en Suisse, le musicien qui y réside pendant 30 jours au moins et y exerce une activité lucrative. Les caisses de compensation déterminent si le musicien appartient à l’une de ces catégories. Les règles valables pour les musiciens sont applicables par analogie aux artistes. La</w:t>
      </w:r>
    </w:p>
    <w:p>
      <w:r>
        <w:t>A/686/2023 - 9/11 - rétribution versée à des musiciens et des artistes (chefs d’orchestre, musiciens d’orchestre, solistes, chanteurs, cantatrices, danseurs, acteurs, animateurs), qui se produisent séparément ou en groupe dans le cadre d’un spectacle donné (concerts, récitals de chant, semaines musicales, soirées de sociétés, noces) provient de l’exercice d’une activité indépendante même si le spectacle n’est pas organisé par le musicien ou par l’artiste lui-même mais par un tiers. Le caractère indépendant ou dépendant d’une activité s’apprécie principalement en fonction de la fréquence des représentations auprès d’un organisateur en particulier, la durée de l’engagement et la notoriété de la personnalité pour la représentation en question. L’existence ou non d’un lien étroit avec l’organisateur est décisive. Si l’orchestre ou la troupe d’artistes dispose d’une organisation propre (association qui gère un orchestre par exemple), il y a lieu de considérer que les membres exercent une activité salariée. Peu importe, en revanche, que la représentation s’inscrive dans le cadre d’une manifestation privée (par exemple, fête de famille ou réunion sociétaire) ou d’une manifestation (év. commerciale) mise en œuvre par un organisateur professionnel. Ces règles s’appliquent par analogie aux DJs. Un DJ qui se produit régulièrement pour un organisateur particulier, par exemple comme « DJ résident », doit en principe être qualifié de salarié. En revanche, celui qui est engagé pour une occasion unique, en raison de sa notoriété, est considéré comme indépendant.</w:t>
      </w:r>
    </w:p>
    <w:p>
      <w:r>
        <w:rPr>
          <w:b/>
        </w:rPr>
        <w:t>E. 9.2</w:t>
      </w:r>
    </w:p>
    <w:p>
      <w:r>
        <w:t>Alors même qu’elle a bénéficié de délais, plusieurs fois prolongés, pour fournir les pièces et les explications demandées, la recourante n’a pas été en mesure de démontrer, ou à tout le moins de rendre vraisemblable, que des prestataires de service, musiciens, DJs ou agents de sécurité, exerçaient une activité indépendante. Le rapport établi par la réviseuse de la CCGC énumère, en détail, les pièces examinées et les reprises envisagées. Ces dernières figurent également dans le courriel du 20 septembre 2021 adressé à la société. Dans sa réponse par courriel du 6 janvier 2022, la société allègue que les informations qu’elle a fournies sont partielles car la société a « subi une perte importante de certains documents et certaines sociétés ». Dans son courriel du 4 février 2022, la conseillère réviseuse de la CCGC informe la société que « les tiers déjà indiqués ne sont pas au bénéfice d’un statut d’indépendant et devront être repris en tant que salariés ». Aucun élément ne permet de douter de l’exactitude des calculs effectués par l’intimée pour établir le montant des reprises. Il sied de rappeler que la société a un devoir de collaborer à l'instruction de l'affaire qui comprend, en particulier, l'obligation d'apporter, dans la mesure où cela peut être raisonnablement exigé d'elle, les preuves commandées par la nature du litige et des faits invoqués, faute de quoi elle risque de devoir supporter les conséquences de l'absence de preuves (ATF 125 V 193 consid. 2 ; VSI 1994, p. 220 consid. 4).</w:t>
      </w:r>
    </w:p>
    <w:p>
      <w:r>
        <w:t>A/686/2023 - 10/11 - En l’absence d’indications de postes spécifiques, étayées par des documents, les allégations très générales de la société ne constituent pas des preuves ; partant, la chambre de céans considère que l’occurrence et la quotité des reprises est établie au degré de la vraisemblance prépondérante par l’intimée.</w:t>
      </w:r>
    </w:p>
    <w:p>
      <w:r>
        <w:rPr>
          <w:b/>
        </w:rPr>
        <w:t>E. 10</w:t>
      </w:r>
    </w:p>
    <w:p>
      <w:r>
        <w:t>Compte tenu de ce qui précède, la décision sur opposition querellée est bien fondée et le recours doit être rejeté.</w:t>
      </w:r>
    </w:p>
    <w:p>
      <w:r>
        <w:rPr>
          <w:b/>
        </w:rPr>
        <w:t>E. 11</w:t>
      </w:r>
    </w:p>
    <w:p>
      <w:r>
        <w:t>Pour le surplus, en l’absence de loi spéciale prévoyant des frais judiciaires, la procédure est gratuite (art. 61 let. fbis LPGA).</w:t>
      </w:r>
    </w:p>
    <w:p>
      <w:r>
        <w:t>A/686/2023 - 11/11 -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