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ATAS/471/2020 vom 15. Juni 2020</w:t>
      </w:r>
    </w:p>
    <w:p>
      <w:r>
        <w:t>GE Cour de justice, 2020-06-15, FR</w:t>
      </w:r>
    </w:p>
    <w:p>
      <w:r>
        <w:rPr>
          <w:b/>
        </w:rPr>
        <w:t xml:space="preserve">Quelle: </w:t>
      </w:r>
      <w:r>
        <w:t>https://mcp.opencaselaw.ch/entscheid/ge_gerichte_ATAS_471_2020</w:t>
      </w:r>
    </w:p>
    <w:p>
      <w:r>
        <w:t>FR: GE_GERICHTE ATAS/471/2020 du 15 juin 2020</w:t>
      </w:r>
    </w:p>
    <w:p>
      <w:r>
        <w:t>IT: GE_GERICHTE ATAS/471/2020 del 15 giugno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Le délai de recours est de trente jours (art. 56 LPGA ; art. 62 al. 1 de la loi sur la procédure administrative du 12 septembre 1985 [LPA - E 5 10]). Les délais sont réputés observés lorsqu'une partie s'adresse par erreur en temps utile à une autorité incompétente (art. 17 al. 5 LPA). b. En l'espèce, interjeté dans le délai de trente jours, le recours sera déclaré recevable, quand bien même il a été déposé à une juridiction incompétente, laquelle l’a transmis à la chambre de céans comme objet de sa compétence.</w:t>
      </w:r>
    </w:p>
    <w:p>
      <w:r>
        <w:rPr>
          <w:b/>
        </w:rPr>
        <w:t>E. 4</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t>A/2128/2019 - 17/28 - En l’espèce, la chambre de céans ayant jugé, dans l’ATAS/537/2016 que la créance en restitution de l’OAI était périmée pour les créances antérieures au 9 juillet 2014, le litige ne porte que sur la période à compter de cette date. Il doit dès lors être examiné au regard du nouveau droit.</w:t>
      </w:r>
    </w:p>
    <w:p>
      <w:r>
        <w:rPr>
          <w:b/>
        </w:rPr>
        <w:t>E. 5</w:t>
      </w:r>
    </w:p>
    <w:p>
      <w:r>
        <w:t>Le litige porte sur le point de savoir si l’intimé est en droit de réduire la rente entière d’invalidité de la recourante à trois-quarts de rente à compter du 9 juillet 2014, et de lui réclamer le remboursement de CHF 3'542.-, correspondant à la différence entre les rentes versées et les rentes prétendument dues entre juillet 2014 et juin 2015. La recourante conteste en particulier le montant retenu par l’intimé au titre de revenu sans invalidité, estimant qu’il conviendrait de prendre en compte un revenu correspondant à celui qu’elle réaliserait à 100 % auprès de la Banque. Elle ne conteste pas qu’elle ne réalisait pas un salaire social à l’époque où l’instruction a été faite par l’intimé, et a indiqué, lors de l’audience de comparution personnelle, renoncer à son argument concernant l'abattement sur le salaire qu’elle avait effectivement réalisé. Elle estime toutefois que l’intimée aurait dû diligenter une expertise afin de déterminer si l’exercice d’une activité adaptée était médicalement exigible au-delà du 30 juin 2015, comme l’arrêt de la chambre de céans l’avait jugé le 29 juin 2016.</w:t>
      </w:r>
    </w:p>
    <w:p>
      <w:r>
        <w:rPr>
          <w:b/>
        </w:rPr>
        <w:t>E. 6</w:t>
      </w:r>
    </w:p>
    <w:p>
      <w:r>
        <w:t>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une appréciation différente d'un même état de fait, n'est pas suffisante pour fonder une révision du droit à la rente (arrêt du Tribunal fédéral des assurances I 419/03 du 22 octobre 2003 consid. 4 ; RCC 1985 p. 333 consid. 2c).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b. Depuis le 1er janvier 2008, l'art. 31 al. 1 LAI prévoit que lorsqu'un assuré ayant droit à une rente perçoit un nouveau revenu ou que son revenu existant augmente,</w:t>
      </w:r>
    </w:p>
    <w:p>
      <w:r>
        <w:t>A/2128/2019 - 18/28 - sa rente n'est révisée conformément à l'art. 17 al. 1 LPGA que si l'amélioration du revenu dépasse CHF 1'500.- par an. c. En vertu de l’art. 88a al. 1 du règlement du 17 janvier 1961 sur l’assurance- 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88bis al. 2 let. b RAI,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RAI. À teneur de cette disposition, l’ayant-droit doit communiquer immédiatement à l'OAI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d. Au contraire,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7</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b.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t>A/2128/2019 - 19/28 - L’al. 2 de cette disposition précise que seules les conséquences de l’atteinte à la santé sont prises en compte pour juger de la présence d’une incapacité de gain. De plus, il n’y a incapacité de gain que si celle-ci n’est pas objectivement surmontable. c.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A/2128/2019 - 20/28 -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op. cit., consid. 3.4).</w:t>
      </w:r>
    </w:p>
    <w:p>
      <w:r>
        <w:t>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 La notion de marché équilibré du travail est une notion théorique et abstraite qui sert de critère de distinction entre les cas tombant sous le coup de l'assurance-</w:t>
      </w:r>
    </w:p>
    <w:p>
      <w:r>
        <w:t>A/2128/2019 - 21/28 -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f.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g. Le revenu d’une activité lucrative qu’on ne peut pas raisonnablement exiger de l’assuré n’est pas pris en compte comme revenu du travail. Cela peut être le cas d’une activité qui, même si elle est appropriée, dépasse manifestement ses forces. Ainsi, par exemple, lorsqu’il exerce une activité lucrative à un taux d’activité supérieur à sa capacité de travail médicalement reconnue, il ne faut compter comme revenu d’invalide que le revenu qu’il obtiendrait en travaillant au taux d’activité qui est indiqué du point de vue médical (arrêt du Tribunal fédéral des assurances I 485/05 du 3 novembre 2005 consid. 5.3, cité in Michel VALTERIO, Commentaire de la LAI, 2018, no. 23 ad art. 28a, p. 410). Dans l’arrêt I 485/05</w:t>
      </w:r>
    </w:p>
    <w:p>
      <w:r>
        <w:t>A/2128/2019 - 22/28 - précité, le Tribunal fédéral des assurances a jugé qu’on ne pouvait prendre en compte, comme revenu du travail d’un assuré dont la capacité de travail était de 50 % d’un point de vue médical, qu’un salaire à 50 %, ce bien qu’il eût travaillé entre 54 et 68 % durant la période litigieuse, à savoir entre 2001 et 2003 (consid. 5.3).</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w:t>
      </w:r>
    </w:p>
    <w:p>
      <w:r>
        <w:t>A/2128/2019 - 23/28 -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la recourante a bénéficié d’une rente entière d’invalidité depuis le 1er octobre 2002, fondée sur un degré d’invalidité de 100 % en raison de multiples atteintes à la colonne vertébrale. Constatant que la recourante avait repris une activité lucrative en décembre 2007, l’intimé a réduit, par décision du 9 juillet 2015, sa rente d’invalidité à un trois-quarts de rente, avec effet rétroactif au 1er juillet 2010.</w:t>
      </w:r>
    </w:p>
    <w:p>
      <w:r>
        <w:t>Par arrêt du 29 juin 2016, la chambre de céans a annulé la décision du 9 juillet 2015 et renvoyé la cause à l’OAI pour instruction complémentaire et nouvelle décision. L’intimé était chargé d’instruire la question de savoir si le salaire perçu auprès de F______ comportait un élément social, et dans l’affirmative, dans quelles proportions. S’il n’existait pas de part sociale, il convenait de se poser la question de savoir si l’activité exercée était au-dessus des forces de la recourante, cette dernière ayant repris un emploi pour des raisons financières. L’intimé devait ainsi compléter l’instruction du dossier par une expertise afin de déterminer si l’exercice d’une activité adaptée à 30 % était médicalement exigible au-delà du 30 juin 2015. La chambre de céans a également relevé que la créance en restitution de l’intimé était périmée, sauf pour les éventuelles prestations excédentaires allouées au cours des douze mois précédent la décision du 9 juillet 2015.</w:t>
      </w:r>
    </w:p>
    <w:p>
      <w:r>
        <w:t>Dans le cadre de l’instruction qu’il a menée, l’intimé a eu un entretien en décembre 2016 avec les responsables de F______, duquel il est ressorti que la recourante ne percevait alors pas de salaire social, ce que cette dernière a reconnu lors de l’audience de comparution personnelle du 18 novembre 2019.</w:t>
      </w:r>
    </w:p>
    <w:p>
      <w:r>
        <w:t>La recourante a continué à travailler auprès de F______ à un taux de 25 % depuis juillet 2015 et jusqu’à son accident de février 2018. Sur les années 2016 et 2017, elle a cumulé 40,5 jours d’incapacité de travail.</w:t>
      </w:r>
    </w:p>
    <w:p>
      <w:r>
        <w:t>Dans la décision querellée, l’intimé a ainsi retenu que la recourante ne percevait aucun salaire social, et qu’il convenait de prendre en compte, comme revenu d’invalide, le salaire effectivement perçu auprès de F______.</w:t>
      </w:r>
    </w:p>
    <w:p>
      <w:r>
        <w:t>S’agissant du revenu sans invalidité, il s’est fondé sur le salaire que percevait la recourante en tant que commise administrative à l’État de Genève en 2003, augmenté par le jeu des annuités, à savoir un salaire de CHF 84'908.- en 2014, 2015 et 2016.</w:t>
      </w:r>
    </w:p>
    <w:p>
      <w:r>
        <w:rPr>
          <w:b/>
        </w:rPr>
        <w:t>E. 11</w:t>
      </w:r>
    </w:p>
    <w:p>
      <w:r>
        <w:t>Dans un premier grief, la recourante soutient que son revenu sans invalidité devrait correspondre à celui d’un poste à 100% auprès de F______, au motif qu’elle aurait, au degré de la vraisemblance prépondérante, recherché un travail mieux rémunéré que celui qu’elle occupait à l’État à la suite de la faillite de son époux.</w:t>
      </w:r>
    </w:p>
    <w:p>
      <w:r>
        <w:t>A/2128/2019 - 24/28 -</w:t>
      </w:r>
    </w:p>
    <w:p>
      <w:r>
        <w:t>Or, l’ATAS/537/2016 précité a déjà tranché cette question, retenant qu’il convenait de prendre en considération le salaire perçu par la recourante lors de sa dernière activité avant la survenance de son invalidité, en appliquant la progression salariale prévue par l’échelle des traitements du personnel de l’État de Genève. En effet, il ressort de la jurisprudence susmentionnée que pour déterminer le salaire sans invalidité, il convient, en règle générale, de se référer au dernier salaire que l'assuré a obtenu avant l'atteinte à la santé, des exceptions n’étant admises que si elles présentent une vraisemblance prépondérante (ATF 129 V 222 consid. 4.3.1). Il sied pour le surplus de relever que l’on ne saurait suivre la recourante lorsqu’elle soutient que selon toute vraisemblance, elle aurait cherché un travail mieux rémunéré après la faillite de son époux, ce d’autant plus qu’en tant que fonctionnaire à l’État de Genève, elle bénéficiait d’une sécurité de l’emploi non négligeable dans de telles circonstances. Par conséquent, c’est à juste titre que l’intimé s’est fondé, pour déterminer le salaire sans invalidité, sur le salaire perçu par la recourante lors de sa dernière activité avant la survenance de son invalidité, en appliquant la progression salariale prévue par l’échelle des traitements du personnel de l’État de Genève, soit un salaire de CHF 84'908.- en 2014, 2015 et 2016.</w:t>
      </w:r>
    </w:p>
    <w:p>
      <w:r>
        <w:rPr>
          <w:b/>
        </w:rPr>
        <w:t>E. 12</w:t>
      </w:r>
    </w:p>
    <w:p>
      <w:r>
        <w:t>Dans un deuxième grief, la recourante soutient qu’elle travaillerait au-dessus de ses forces et que l’intimé aurait dès lors dû mettre en œuvre une expertise pour déterminer si l’exercice d’une activité adaptée était médicalement exigible au-delà du 30 juin 2015. Après le renvoi du dossier par la chambre de céans, l’intimé a procédé à diverses mesures d’instruction sur le plan médical, puis a retenu, dans la décision querellée, que la situation médicale était claire, et qu’il n’était pas nécessaire d’instruire davantage cette question et d’ordonner une expertise afin de déterminer si l’exercice d’une activité adaptée était médicalement exigible au-delà du 30 juin 2015. En effet, malgré son atteinte à la santé, la recourante mettait à profit une certaine capacité de travail et de gain qui générait des répercussions économiques. Par conséquent, il convenait de prendre en compte, comme revenu d’invalide, le salaire effectivement perçu, qui ne comportait pas de composante sociale. Il sied tout d’abord de relever que, contrairement à ce que soutient l’intimé, la situation professionnelle de la recourante ne saurait être qualifiée de stable, celle-ci ayant relaté, lors de l’audience de comparution personnelle, que son contrat était renouvelable de mois en mois, qu’elle travaillait désormais à 12.5 %, et qu’elle s’attendait à se faire prochainement licencier.</w:t>
      </w:r>
    </w:p>
    <w:p>
      <w:r>
        <w:t>Par ailleurs, l’approche purement économique de l’invalidité défendue par l’intimé ne saurait être suivie par la Cour de céans. En effet, comme le rappellent la doctrine et la jurisprudence susmentionnées (arrêt du Tribunal fédéral des assurances I 485/05 du 3 novembre 2005 et VALTERIO, op. cit.), le revenu d’une activité lucrative qu’on ne peut raisonnablement exiger de l’assuré ne doit pas être pris en compte comme revenu du travail.</w:t>
      </w:r>
    </w:p>
    <w:p>
      <w:r>
        <w:t>A/2128/2019 - 25/28 -</w:t>
      </w:r>
    </w:p>
    <w:p>
      <w:r>
        <w:t>En l’espèce, il ressort du dossier que la capacité de travail de la recourante est nulle et que celle-ci se trouve dans un état d’épuisement chronique, travaillant au-dessus de ses forces pour des raisons financières. Ainsi, dans un rapport du 11 mai 2017, le Dr C______ a indiqué que l’exercice d’une activité adaptée à 30 % n’était plus exigible au-delà du 30 juin 2015 en raison d’une asthénie très importante sur vingt- quatre heures et d’insomnie jusqu’à trois heures le lendemain. Par ailleurs, dans son rapport du 19 septembre 2017, le Dr J______ a posé les diagnostics de troubles somatiques, trouble dépressif majeur récurrent, sévère sans caractéristiques psychotiques d’évolution chronique (F 33.2) et anxiété généralisée (F 41.1), et a retenu que l’incapacité de travail de la recourante était totale et le pronostic réservé, compte tenu notamment de la multiplicité des problèmes de la recourante, de son âge et de son épuisement chronique depuis des années. Se fondant sur le rapport du Dr J______, le Dr H______, du SMR, a considéré le 31 janvier 2018 que la capacité de travail de la recourante était nulle dans toute activité depuis le mois de juin 2015. Dans un nouveau rapport du 29 juillet 2018, le médecin du SMR a estimé que la capacité de travail de la recourante était toujours nulle et que celle-ci travaillait au-dessus de ses forces. Les conclusions du Dr H______ ne sont au demeurant pas contredites par l’intimé.</w:t>
      </w:r>
    </w:p>
    <w:p>
      <w:r>
        <w:t>Les nombreuses absences de la recourante durant ces dernières années (elle a notamment été en incapacité de travail durant 40,5 jours entre février 2016 et septembre 2017) témoignent également de cet épuisement chronique.</w:t>
      </w:r>
    </w:p>
    <w:p>
      <w:r>
        <w:t>Il sied de relever ici que le rapport LAA établi en octobre 2018 par le Dr O______, à teneur duquel la recourante était en incapacité de travail à 50 % (de son 25 % habituel) depuis le 1er mai 2018 a manifestement été rédigé pour le traitement du cas d’accident par l’assurance-accidents. On ne saurait dès lors en déduire une quelconque capacité de travail.</w:t>
      </w:r>
    </w:p>
    <w:p>
      <w:r>
        <w:t>Au vu de ce qui précède, le revenu de l’activité effectuée par la recourante auprès de F______ ne saurait être retenu depuis juin 2015 pour déterminer son salaire d’invalide, cette activité lucrative dépassant manifestement ses forces depuis cette date et ne pouvant être raisonnablement exigée de la recourante.</w:t>
      </w:r>
    </w:p>
    <w:p>
      <w:r>
        <w:t>La capacité de travail de la recourante étant nulle dans toute activité à compter du mois de juin 2015, aucun salaire d’invalide ne peut être retenu depuis cette date, de sorte que le degré d’invalidité de la recourante est de 100 %, ouvrant le droit à une rente entière.</w:t>
      </w:r>
    </w:p>
    <w:p>
      <w:r>
        <w:t>Le Dr H______ ayant fixé la date de début de l’incapacité de travail totale de la recourante au début du mois de juin 2015, et cette date n’étant contestée par aucune des parties, il convient de retenir que c’est bien à partir de cette date que son degré d’invalidité est de 100 %. Ce changement accroît donc son droit aux prestations dès qu’il a duré trois mois sans interruption notable, soit à compter du 1er septembre 2015.</w:t>
      </w:r>
    </w:p>
    <w:p>
      <w:r>
        <w:t>A/2128/2019 - 26/28 -</w:t>
      </w:r>
    </w:p>
    <w:p>
      <w:r>
        <w:t>Par conséquent, le recours sera partiellement admis, et la décision querellée réformée en ce sens que la recourante a droit à une rente entière d’invalidité à compter du 1er septembre 2015. En revanche, le salaire effectivement réalisé par la recourante auprès de F______ doit être pris en compte dans le calcul de son degré d’invalidité jusqu’au mois de mai 2015, dès lors qu’il ne peut être considéré comme un salaire social et que la recourante n’a travaillé au-dessus de ses forces qu’à partir du mois de juin 2015. Le calcul du degré d’invalidité effectué par l’intimé doit donc être confirmé pour cette période : la recourante a droit à un trois-quarts de rente du 9 juillet 2014 à fin août 2015.</w:t>
      </w:r>
    </w:p>
    <w:p>
      <w:r>
        <w:t>La recourante ayant perçu une rente entière jusqu’au mois de juillet 2015, la demande de remboursement de l’intimé, portant sur le trop-perçu durant la période du 9 juillet 2014 à la fin du mois de juillet 2015, est dès lors justifiée.</w:t>
      </w:r>
    </w:p>
    <w:p>
      <w:r>
        <w:rPr>
          <w:b/>
        </w:rPr>
        <w:t>E. 13</w:t>
      </w:r>
    </w:p>
    <w:p>
      <w:r>
        <w:t>Reste à trancher la problématique du plafonnement de la rente de la recourante. Dans ses écritures, l’intimé a retenu que cette question n’était pas pertinente, la rente de la recourante n’étant plus plafonnée depuis qu’elle reçoit un trois-quarts de rente (soit dès le 1er juillet 2014). Or, dans la mesure où la recourante a droit à une rente entière à compter du 1er septembre 2015 cette question doit être examinée. a. À teneur de l’art. 37 al. 1bis LAI, si les deux conjoints ont droit à une rente, l’art. 35 de la loi fédérale sur l’assurance-vieillesse et survivants du 20 décembre 1946 (RS 831.10 - LAVS) est applicable par analogie. Selon l’art. 35 al. 1 LAVS, la somme des deux rentes pour un couple s’élève au plus à 150 % du montant maximum de la rente de vieillesse si les deux conjoints ont droit à une rente de vieillesse ou si un conjoint a droit à une rente de vieillesse et l’autre à une rente de l’assurance-invalidité. L’alinéa 2 de cette disposition précise qu’aucune réduction des rentes n’est prévue au détriment des époux qui ne vivent plus en ménage commun suite à une décision judiciaire. b. Selon le chiffre 5517 des directives de l'office fédéral des assurances sociales concernant les rentes de l'assurance vieillesse, survivants et invalidité fédérale, valables dès le 1er janvier 2003, dans leur état au 1er janvier 2020, lorsque les conjoints vivent séparés judiciairement, les rentes sont versées sans plafonnement dès le mois qui suit celui de la séparation. Est déterminante la date de la séparation fixée par le juge. Dans un arrêt du 1er novembre 2016, la chambre de céans a retenu que le déplafonnement des rentes de conjoints séparés devait prendre effet non pas à la date de la séparation de fait, mais le premier jour du mois suivant l’entrée en force de la décision de séparation du juge civil (ATAS/889/2016 consid. 6). c. En l’espèce, la recourante a indiqué vivre séparée de son époux depuis le 1er novembre 2016. Le jugement du juge civil l’autorisant à vivre séparée de son époux, datant du 2 mars 2017, ne fixe pas la date de séparation. Conformément à la jurisprudence susmentionnée, le déplafonnement de la rente de la recourante doit</w:t>
      </w:r>
    </w:p>
    <w:p>
      <w:r>
        <w:t>A/2128/2019 - 27/28 - prendre effet le 1er mai 2017 (soit le premier jour du mois suivant l’entrée en force du jugement du 2 mars 2017). Par conséquent, le dossier sera renvoyé à l’intimé pour qu’il procède au calcul de la rente d’invalidité due à la recourante, celle-ci devant être plafonnée du 1er septembre 2015 au 30 avril 2017 et déplafonnée ensuite.</w:t>
      </w:r>
    </w:p>
    <w:p>
      <w:r>
        <w:rPr>
          <w:b/>
        </w:rPr>
        <w:t>E. 14</w:t>
      </w:r>
    </w:p>
    <w:p>
      <w:r>
        <w:t>Ce qui précède conduit à l’admission partielle du recours.</w:t>
      </w:r>
    </w:p>
    <w:p>
      <w:r>
        <w:rPr>
          <w:b/>
        </w:rPr>
        <w:t>E. 15</w:t>
      </w:r>
    </w:p>
    <w:p>
      <w:r>
        <w:t>La recourante obtenant dans une large mesure gain de cause, une indemnité de CHF 3’000.- lui sera accordée à titre de participation à ses frais et dépens (art. 61 let. g LPGA ; art. 6 du règlement sur les frais, émoluments et indemnités en matière administrative du 30 juillet 1986 [RFPA - E 5 10.03]).</w:t>
      </w:r>
    </w:p>
    <w:p>
      <w:r>
        <w:rPr>
          <w:b/>
        </w:rPr>
        <w:t>E. 16</w:t>
      </w:r>
    </w:p>
    <w:p>
      <w:r>
        <w:t>Étant donné que depuis le 1er juillet 2006, la procédure n'est plus gratuite (art. 69 al. 1bis LAI), il y a lieu de condamner l'intimé au paiement d'un émolument de CHF 200.-.</w:t>
      </w:r>
    </w:p>
    <w:p>
      <w:r>
        <w:t>A/2128/2019 - 28/28 -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