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ATAS/471/2017 vom 8. Juni 2017</w:t>
      </w:r>
    </w:p>
    <w:p>
      <w:r>
        <w:t>GE Cour de justice, 2017-06-08, FR</w:t>
      </w:r>
    </w:p>
    <w:p>
      <w:r>
        <w:rPr>
          <w:b/>
        </w:rPr>
        <w:t xml:space="preserve">Quelle: </w:t>
      </w:r>
      <w:r>
        <w:t>https://mcp.opencaselaw.ch/entscheid/ge_gerichte_ATAS_471_2017</w:t>
      </w:r>
    </w:p>
    <w:p>
      <w:r>
        <w:t>FR: GE_GERICHTE ATAS/471/2017 du 8 juin 2017</w:t>
      </w:r>
    </w:p>
    <w:p>
      <w:r>
        <w:t>IT: GE_GERICHTE ATAS/471/2017 del 8 giugno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(cf. art. 49 al. 3 LMC et art. 89B de la loi sur la procédure administrative du 12 septembre 1985 [LPA - E 5 10]).</w:t>
      </w:r>
    </w:p>
    <w:p>
      <w:r>
        <w:rPr>
          <w:b/>
        </w:rPr>
        <w:t>E. 3</w:t>
      </w:r>
    </w:p>
    <w:p>
      <w:r>
        <w:t>Le litige porte sur le droit de la recourante au versement de prestations complémentaires cantonales en cas de maladie, et plus particulièrement sur la question de savoir si les causes de son incapacité de travail sont antérieures à son inscription au chômage, subsidiairement si elle peut bénéficier de le clause de rigueur.</w:t>
      </w:r>
    </w:p>
    <w:p>
      <w:r>
        <w:rPr>
          <w:b/>
        </w:rPr>
        <w:t>E. 4</w:t>
      </w:r>
    </w:p>
    <w:p>
      <w:r>
        <w:t>Au niveau fédéral, le droit à l'indemnité de chômage en cas d'incapacité de travail passagère est réglé à l'art. 28 LACI (ATF 126 V 127 consid. 3b). A teneur de l’alinéa 1er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w:t>
      </w:r>
    </w:p>
    <w:p>
      <w:r>
        <w:t>A/846/2017 - 5/9 - durant le délai-cadre. L'art. 21 LACI prévoit que cinq indemnités journalières sont payées par semaine.</w:t>
      </w:r>
    </w:p>
    <w:p>
      <w:r>
        <w:rPr>
          <w:b/>
        </w:rPr>
        <w:t>E. 5</w:t>
      </w:r>
    </w:p>
    <w:p>
      <w:r>
        <w:t>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 chômage fédérale (voir art. 1 let. d LMC) qui relèvent du droit cantonal autonome et non pas du droit fédéral ou du droit cantonal d'exécution du droit fédéral (arrêt 8C_864/2012 du 26 février 2013 consid. 3).</w:t>
      </w:r>
    </w:p>
    <w:p>
      <w:r>
        <w:rPr>
          <w:b/>
        </w:rPr>
        <w:t>E. 6</w:t>
      </w:r>
    </w:p>
    <w:p>
      <w:r>
        <w:t>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(art. 13 LMC). A noter que l'affiliation à l'assurance doit être interprétée comme le moment à partir duquel l'assuré est couvert par les PCM, soit depuis la date de l'ouverture du délai-cadre d'indemnisation (ATAS/81/2013 du 21 janvier 2013).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 Grand Conseil, 1983/III p. 3545). En d’autres termes, l’assurance-chômage n’avait</w:t>
      </w:r>
    </w:p>
    <w:p>
      <w:r>
        <w:t>A/846/2017 - 6/9 -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les autres assurances n’acceptaient pas non plus les personnes déjà malades et les PCM couvraient les affections passagères et non durables (p. 12 du rapport de la Commission de l’économie chargée d’étudier le projet de loi du Conseil d’Etat modifiant la loi en matière de chômage (J 2 20), Mémorial du Grand Conseil 2001- 2002 IV, Annexes p. 718 ss ; cité ci-après : rapport de la Commission de l’économie).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l’occurrence, la recourante a fait valoir dans un premier temps avoir souffert de deux épisodes dépressifs distincts. Le premier épisode, qui a duré jusqu’à fin avril 2016, était dû à un mobbing dans le cadre de son travail, selon ses explications. Quant au second, à compter de novembre 2016, d’autres causes étaient à son origine. Dans sa réplique du 4 mai 2017, la recourante argue qu’en fait l’arrêt de travail de novembre 2016 n’était pas dû à un épisode dépressif, mais à une fibromyalgie extrêmement handicapante. Ce n’est que du fait qu’elle avait rendez- vous avec sa psychiatre dans un proche avenir que c’est celle-ci qui a établi l’arrêt de travail. Dans les deux hypothèses, il appert que la cause de l’incapacité de travail existe bel et bien avant l’inscription de la recourante à l’OCE. Pour les atteintes à la santé rhumatismales, cela ressort tant de la demande de prestations de l’assurance- invalidité de la recourante que du certificat médical du Dr D______ du 21 octobre 2016. Dans cette demande, la recourante indique qu’elle souffre de douleurs rhumatismales chroniques et d’une dépression, dans le cadre d’une fibromyalgie. Elle considère donc elle-même qu'elle présente une maladie durable. Aucune mention n’est faite d’un harcèlement professionnel ou d’un burn out. Le Dr D______ confirme dans son certificat médical précité qu’il suit la recourante depuis avril 2013 et que celle-ci l’a recontacté à deux reprises en octobre 2016 en raison d’une exacerbation de ses douleurs « habituelles ». Il certifie de surcroît que</w:t>
      </w:r>
    </w:p>
    <w:p>
      <w:r>
        <w:t>A/846/2017 - 7/9 - l’assurée souffre d’une maladie chronique susceptible d’entraîner de nouvelles exacerbations. Quant au trouble dépressif, il n’est certes pas attesté qu’il s’agisse d’un trouble dépressif récurrent. Néanmoins, les critères diagnostics pour un tel trouble selon la classification internationale des maladies de la dixième révision (CIM-10) sont réunis. En effet, selon celle-ci, il faut la présence d’au moins un épisode dépressif ayant persisté au moins deux semaines et séparé de l’épisode actuel par une période d’au moins deux mois sans perturbation significative de l’humeur (p. 79). Or, la recourante était suivie en raison d'un trouble dépressif par la Dresse C______ depuis juillet 2015, selon son certificat du 22 novembre 2015. Du 22 septembre 2015 au 30 avril 2016, elle était en incapacité de travail entre 50 et 100 %, soit pendant une durée de plus de sept mois. Par ailleurs, la rémission de ce trouble n’a duré que six mois, soit de mai à octobre 2016. Même si les facteurs déclencheurs de l'épisode dépressif en novembre 2016 ne sont pas identiques à ceux du précédent épisode, il n'en demeure pas moins que la recourante présente un trouble dépressif préexistant à son inscription au chômage et que les adversités de la vie, même de peu d'importance, sont susceptibles de provoquer une nouvelle décompensation, comme cela s'est produit en l'espèce. Il est à cet égard à relever qu’une partie de la doctrine médicale considère un patient comme guéri seulement après une période de six à neuf mois de rémission complète suivant l’état dépressif précédent (cf. Dr Guido BONDOLFI, Dépression récurrente et prévention de la rechute, in Revue médicale Suisse, 2002, n° 2406 ; voir dans le même sens Dr Adeline GAILLARD, Dépression et récurrences, in Livre blanc de la dépression, édité par Jean-Pierre OLIE, 2015, téléchargeable via le site du Centre hospitalier universitaire (CHU) de Clermont Ferrand à l’adresse chuclermontferrand.centredoc. fr/opac/index.php?lvl= notice_display&amp;id=90106). Par conséquent, les causes à l’origine de la période d’incapacité de travail dès le 1er novembre 2016, aussi bien pour le trouble dépressif que pour les douleurs rhumatismales, sont en l'espèce assurément antérieures à l’affiliation de la recourante à l’assurance perte de gain le 1er mai 2016, ce qui exclut le versement de PCM.</w:t>
      </w:r>
    </w:p>
    <w:p>
      <w:r>
        <w:rPr>
          <w:b/>
        </w:rPr>
        <w:t>E. 9</w:t>
      </w:r>
    </w:p>
    <w:p>
      <w:r>
        <w:t>Reste à examiner si la recourante peut se prévaloir d’un cas de rigueur. a. Lors de l'adoption de l'art. 13 LMC, le législateur n'a pas précisé les cas de rigueur (p. 12 du rapport de la Commission de l'économie, op.cit.). Comme la chambre de céans l’a relevé ci-dessus, selon les travaux préparatoires et le texte même de la loi, le législateur voulait instaurer une véritable assurance de perte de gain obligatoire et non pas donner automatiquement à la personne au chômage un droit aux prestations en cas d'incapacité de travail. Selon la pratique de l'OCE, confirmée par la chambre de céans, les cas de rigueur ne sont reconnus qu'aux femmes enceintes ou aux assurés se trouvant dans des situations très exceptionnelles, par exemple lorsqu'un assuré n'avait pas conscience de son incapacité de travail antérieure. Un cas de rigueur ne peut cependant être admis</w:t>
      </w:r>
    </w:p>
    <w:p>
      <w:r>
        <w:t>A/846/2017 - 8/9 - pour tenir compte des difficultés financières d'un assuré en incapacité de travail (ATAS/1142/2014 du 5 novembre 2014 et ATAS/902/2014 du 19 août 2014). En effet, dans le cas contraire, un cas de rigueur devrait être admis presque systématiquement (ATAS/1142/2014 du 5 novembre 2014). b. Il découle de ce qui précède que, conformément à la pratique et à la jurisprudence précitées, un cas de rigueur ne peut pas être admis en l'occurrence en raison des difficultés financières de la recourante.</w:t>
      </w:r>
    </w:p>
    <w:p>
      <w:r>
        <w:rPr>
          <w:b/>
        </w:rPr>
        <w:t>E. 10</w:t>
      </w:r>
    </w:p>
    <w:p>
      <w:r>
        <w:t>Cela étant, la recourante ne remplit pas les conditions légales pour bénéficier des prestations cantonales en cas de maladie à compter du 1er novembre 2016.</w:t>
      </w:r>
    </w:p>
    <w:p>
      <w:r>
        <w:rPr>
          <w:b/>
        </w:rPr>
        <w:t>E. 11</w:t>
      </w:r>
    </w:p>
    <w:p>
      <w:r>
        <w:t>Le recours sera donc rejeté.</w:t>
      </w:r>
    </w:p>
    <w:p>
      <w:r>
        <w:rPr>
          <w:b/>
        </w:rPr>
        <w:t>E. 12</w:t>
      </w:r>
    </w:p>
    <w:p>
      <w:r>
        <w:t>La procédure est gratuite.</w:t>
      </w:r>
    </w:p>
    <w:p>
      <w:r>
        <w:t>***</w:t>
      </w:r>
    </w:p>
    <w:p>
      <w:r>
        <w:t>A/846/2017 - 9/9 -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