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ATAS/471/2010 vom 4. Mai 2010</w:t>
      </w:r>
    </w:p>
    <w:p>
      <w:r>
        <w:t>GE Cour de justice, 2010-05-04, FR</w:t>
      </w:r>
    </w:p>
    <w:p>
      <w:r>
        <w:rPr>
          <w:b/>
        </w:rPr>
        <w:t xml:space="preserve">Quelle: </w:t>
      </w:r>
      <w:r>
        <w:t>https://mcp.opencaselaw.ch/entscheid/ge_gerichte_ATAS_471_2010</w:t>
      </w:r>
    </w:p>
    <w:p>
      <w:r>
        <w:t>FR: GE_GERICHTE ATAS/471/2010 du 4 mai 2010</w:t>
      </w:r>
    </w:p>
    <w:p>
      <w:r>
        <w:t>IT: GE_GERICHTE ATAS/471/2010 del 4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A/3945/2008 - 4/6 - Sa compétence pour juger du cas d’espèce est ainsi établie.</w:t>
      </w:r>
    </w:p>
    <w:p>
      <w:r>
        <w:rPr>
          <w:b/>
        </w:rPr>
        <w:t>E. 2</w:t>
      </w:r>
    </w:p>
    <w:p>
      <w:r>
        <w:t>La LPGA entrée en vigueur le 1er janvier 2003 est applicable.</w:t>
      </w:r>
    </w:p>
    <w:p>
      <w:r>
        <w:rPr>
          <w:b/>
        </w:rPr>
        <w:t>E. 3</w:t>
      </w:r>
    </w:p>
    <w:p>
      <w:r>
        <w:t>Le recours, déposé selon la forme et le délai prescrits, est recevable.</w:t>
      </w:r>
    </w:p>
    <w:p>
      <w:r>
        <w:rPr>
          <w:b/>
        </w:rPr>
        <w:t>E. 4</w:t>
      </w:r>
    </w:p>
    <w:p>
      <w:r>
        <w:t>Le litige est limité à la question des dépens.</w:t>
      </w:r>
    </w:p>
    <w:p>
      <w:r>
        <w:rPr>
          <w:b/>
        </w:rPr>
        <w:t>E. 5</w:t>
      </w:r>
    </w:p>
    <w:p>
      <w:r>
        <w:t>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l’intéressée l’issue de la procédure (ATF 114 V 87 consid. 4 ; ATFA non publié du 23 janvier 2006, I 699/04, consid. 2). Lorsque le recours est déclaré sans objet, le recourant peut prétendre à des dépens, pour autant que les chances de succès telles qu'elles se présentaient avant que le recours ne devienne sans objet le justifient (RAMA 2001 p. 76).</w:t>
      </w:r>
    </w:p>
    <w:p>
      <w:r>
        <w:rPr>
          <w:b/>
        </w:rPr>
        <w:t>E. 6</w:t>
      </w:r>
    </w:p>
    <w:p>
      <w:r>
        <w:t>Dans le cas d'espèce, l'assurée a recouru contre la décision du 7 octobre 2008 en concluant à l'octroi d'une demi-rente au-delà du 30 septembre 2007, et non pas à des mesures d'ordre professionnel. L'OAI avait déjà mis en place une mesure d'aide au placement dès le 20 octobre 2008, soit des cours de recherche d'emploi. Après le dépôt du recours, des mesures professionnelles ont été accordées le 25 novembre 2008. Plusieurs mesures (orientation, stage, etc…) se sont ainsi succédées jusqu'à la prise d'emploi par l'assurée le 1er mars 2010, à 75%. Il faut ainsi retenir que l'octroi de ces mesures, quel que soit le taux d'invalidité retenu par la décision initiale, a été un succès qui doit servir d'exemple. Toutefois, le recours déposé ne concluait pas à l'octroi de mesures professionnelles et celles-ci étaient en cours lors de la saisine du Tribunal. Sur ce point donc, l'assurée n'obtient pas gain de cause et ne peut pas prétendre à l'octroi de dépens.</w:t>
      </w:r>
    </w:p>
    <w:p>
      <w:r>
        <w:t>A/3945/2008 - 5/6 - Seuls la capacité de travail dans une activité adaptée et, en conséquence, le taux d'invalidité retenus par l'OAI ont été contestés par la recourante. Selon l'expertise du 23 avril 2008, l'assurée dispose d'une capacité de travail de 50% y compris dans toute activité adaptée, mais l'expert ne se détermine pas du point de vue médical sur la capacité résiduelle de travail de l'assurée et les limitations fonctionnelles qui l'empêcheraient de travailler plus que 50% dans une activité ne sollicitant pas son poignet. L'OAI a ainsi admis une capacité de 100% et a tenu compte d'un abattement de 20% sur le salaire d'invalide. Il convient donc de retenir une capacité de gain de 80%, compte tenu de la reprise du travail à 75% dans une activité adaptée et du retrait du recours, l'assurée ne prétendant pas que ce taux d'activité limité soit dû à son état de santé. Le taux d'invalidité peut donc être calculé ainsi, sur la base des données de 2010, bien que la décision litigieuse ait été fondée sur les salaires de 2007, le résultat étant comparable : Salaire sans invalidité auprès du dernier employeur : 41'100 fr., indexé de 2007 à 2010, soit 41'880 fr.. Revenu réellement perçu en 2010, avec invalidité : 2'962 fr. 50 x 13 mois ./. 75% x 80% = 41'080 fr.. Taux d'invalidité : 1,9%. Ainsi, en cas de maintien du recours, l'assurée n'aurait pas eu droit à l'octroi d'une rente, de sorte qu'elle n'aurait pas obtenu gain de cause et ne peut donc pas prétendre à des dépens. Compte tenu de l'issue de la procédure toutefois, soit le retrait du recours, il sera renoncé à la perception d'un émolument.</w:t>
      </w:r>
    </w:p>
    <w:p>
      <w:r>
        <w:t>A/3945/2008 - 6/6 -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