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ATAS/470/2024 vom 19. Juni 2024</w:t>
      </w:r>
    </w:p>
    <w:p>
      <w:r>
        <w:t>GE Cour de justice, 2024-06-19, FR</w:t>
      </w:r>
    </w:p>
    <w:p>
      <w:r>
        <w:rPr>
          <w:b/>
        </w:rPr>
        <w:t xml:space="preserve">Quelle: </w:t>
      </w:r>
      <w:r>
        <w:t>https://mcp.opencaselaw.ch/entscheid/ge_gerichte_ATAS_470_2024</w:t>
      </w:r>
    </w:p>
    <w:p>
      <w:r>
        <w:t>FR: GE_GERICHTE ATAS/470/2024 du 19 juin 2024</w:t>
      </w:r>
    </w:p>
    <w:p>
      <w:r>
        <w:t>IT: GE_GERICHTE ATAS/470/2024 del 19 giugno 2024</w:t>
      </w:r>
    </w:p>
    <w:p>
      <w:pPr>
        <w:pStyle w:val="Heading2"/>
      </w:pPr>
      <w:r>
        <w:t>Erwägungen</w:t>
      </w:r>
    </w:p>
    <w:p>
      <w:r>
        <w:rPr>
          <w:b/>
        </w:rPr>
        <w:t>E. 14</w:t>
      </w:r>
    </w:p>
    <w:p>
      <w:r>
        <w:t>mars 2024, l'actionnaire principal de la société l'avait informée que l'appelée en cause était, à la fois, actionnaire et directrice de la société et que sa signature était déposée sur le carton de signatures du compte bancaire de la société. L'appelée en cause avait donc le pouvoir et le devoir de régler tous les paiements, y compris ceux dus aux assurances sociales. j. Le 25 mars 2024, l'appelée en cause a adressé à la chambre de céans ses bulletins de salaire des mois d'avril et mai 2019 ainsi que ceux d'août et septembre 2017 envoyés depuis les adresses électroniques de la société et d'une entreprise tierce, toutes deux gérées par la recourante. Ces bulletins de salaire avaient été signés par la recourante, démontrant ainsi que cette dernière était responsable du versement des salaires et de la gestion de toutes les démarches liées aux assurances sociales. Elle a aussi produit un courrier du 27 novembre 2019 et la liste des détenteurs d'actions de la société attestant du fait que Monsieur D______ (ci-après : l'actionnaire) était l'actionnaire unique de la société, de sorte qu'elle n'était elle-même qu'une simple salariée qui n'avait jamais eu de rôle dans l'administration de la société. k. Le 17 avril 2024, faisant suite à l'écriture de la recourante du 20 mars 2024, l'intimée a persisté dans ses conclusions. Le rôle joué par l'appelée en cause ne constituait en aucun cas un facteur permettant d'exclure la responsabilité de la recourante pour le dommage causé à la caisse.</w:t>
      </w:r>
    </w:p>
    <w:p>
      <w:r>
        <w:t>A/1800/2023 - 5/20 - l. Le 6 mai 2024, réagissant à l'écriture de l'appelée en cause du 25 mars 2024, l'intimée a relevé que les déclarations de cette dernière divergeaient complètement de celles de la recourante et que les documents transmis ne permettaient pas d'établir le rôle effectif joué par chacune dans la gestion de la société. Toutefois, le rôle formel de l'appelée en cause et de la recourante permettait de les considérer comme les responsables solidaires du dommage causé. L'intimée a persisté dans ses conclusions pour le surplus. m. Le 8 mai 2024, faisant manifestement référence à la décision sur opposition du 29 juin 2023 rendue par l'intimée à l'encontre de l'appelée en cause, la recourante a indiqué que la responsabilité pleine et entière de celle-ci avait été reconnue par l'intimée, cette dernière ayant relevé son statut de directrice de la société avec signature individuelle « auprès de la E______ devenue F______ SA » et le fait qu'elle détenait 50% des actions pendant toute la durée de son mandat de directrice, tel que confirmé par l'actionnaire. L'appelée en cause était la seule à avoir accès au compte de la société, de sorte qu'il lui était aisé de prélever chaque mois le montant de son salaire en liquide sans se préoccuper du paiement des charges sociales. Elle était en outre la seule à pouvoir agir pour tout paiement de la société. Par ailleurs, les bulletins de salaires produits par l'appelée en cause étaient des faux. La recourante n'avait pas non plus signé la liste des détenteurs d'actions de la société. Elle ne figurait pas sur le carton de signatures et n'avait jamais eu de procuration sur le compte de la société. Son rôle d'administratrice avec signature individuelle ne constituait qu'un titre honorifique car, lorsqu'elle demandait à être informée sur le bon déroulement de la société, il lui était répondu qu'elle n'avait pas de procuration. n. Le 22 mai 2024, la chambre de céans a transmis les écritures susvisées aux parties et les a informées que la cause était gardée à juger.</w:t>
      </w:r>
    </w:p>
    <w:p>
      <w:r>
        <w:t>EN DROIT</w:t>
      </w:r>
    </w:p>
    <w:p>
      <w:r>
        <w:t>1.</w:t>
      </w:r>
    </w:p>
    <w:p>
      <w:r>
        <w:t>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ratione materiae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w:t>
      </w:r>
    </w:p>
    <w:p>
      <w:r>
        <w:t>A/1800/2023 - 6/20 - soit le domicile dudit organe (arrêt du Tribunal fédéral des assurances H 184/06 du 25 avril 2007 consid. 2.3). La société en cause ayant été domiciliée dans le canton de Genève depuis le 9 novembre 2016 jusqu'au moment de sa faillite, la chambre de céans est également compétente ratione loci. 1.3 Le délai de recours est de trente jours (art. 60 al. 1 LPGA; art. 62 al. 1 de la de loi sur la procédure administrative du 12 septembre 1985 [LPA - E 5 10]). Interjeté dans la forme (art. 61 let. b LPGA) et le délai prévus par la loi, le recours est recevable. 2. À teneur de l'art. 1 al. 1 LAVS, les dispositions de la LPGA s'appliquent aux art. 1 à 97 LAVS, à moins que la loi n'y déroge expressément. 3. Le litige porte sur la responsabilité de la recourante dans le préjudice causé à l’intimée, par le défaut de paiement des cotisations sociales entre le 1er janvier 2018 et le 30 juin 2019. 4. En premier lieu, il convient d’examiner si la prétention de la caisse est prescrite. 4.1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al. 1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(NDR : le délai absolu)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t>A/1800/2023 - 7/20 -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Il résulte de la jurisprudence rendue à propos de l’art. 52 al. 3 aLAVS, les éléments qui suivent.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w:t>
      </w:r>
    </w:p>
    <w:p>
      <w:r>
        <w:t>A/1800/2023 - 8/20 - à partir de laquelle court le délai absolu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(Office fédéral des assurances sociales [OFAS], Directives sur la perception des cotisations dans l’AVS, AI et APG [DP], état au 1er janvier 2024,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H.284/02 du 19 février 2003 consid. 7.2).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w:t>
      </w:r>
    </w:p>
    <w:p>
      <w:r>
        <w:t>A/1800/2023 - 9/20 -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 4.2 En l'espèce, en application du droit transitoire, la question du point de départ des délais de prescription doit être tranchée à la lumière du nouveau droit, les faits étant postérieurs à l'entrée en vigueur de l'actuel art. 52 al. 3 LAVS, intervenue le 1er janvier 2020. Il s'en suit que les délais plus longs prévus par l'art. 60 CO s'appliquent au cas d'espèce. S'agissant du délai relatif de trois ans, le moment de la connaissance du dommage par l'intimée est survenu, en application de la jurisprudence fédérale, en date du 12 février 2021, soit au moment de la délivrance des trois procès-verbaux de saisie valant actes de défaut de biens définitifs au sens des art. 115 al. 1 et 149 LP (ATF 113 V 256 consid. 3c ; arrêt du Tribunal fédéral H.284/02 du</w:t>
      </w:r>
    </w:p>
    <w:p>
      <w:r>
        <w:rPr>
          <w:b/>
        </w:rPr>
        <w:t>E. 19</w:t>
      </w:r>
    </w:p>
    <w:p>
      <w:r>
        <w:t>février 2003 consid. 7.2), desquels il ressort que les biens saisissables font entièrement défaut. Ce n’est en effet qu’à cette date que l’intimée pouvait savoir qu’elle ne recouvrirait pas les cotisations en souffrance auprès de la société. S'agissant du délai absolu de dix ans, la prescription n'est manifestement pas atteinte, que l'on retienne que la survenance du dommage est intervenue le 12 février 2021, lors de la délivrance des procès-verbaux de saisie susvisés, ou le 18 novembre 2021, soit le jour de la suspension de la faillite faute d'actifs. La décision du 27 mars 2023 a ainsi été rendue en temps utile par l'intimée alors que ni la prescription relative, ni la prescription absolue n'étaient acquises. Par la suite, lesdits délais de prescription ont été interrompus et de nouveaux délais de même durée ont commencé à courir en date des 18 avril 2023 (opposition de la recourante), 26 avril 2023 (décision sur opposition) et</w:t>
      </w:r>
    </w:p>
    <w:p>
      <w:r>
        <w:rPr>
          <w:b/>
        </w:rPr>
        <w:t>E. 24</w:t>
      </w:r>
    </w:p>
    <w:p>
      <w:r>
        <w:t>mai 2023 (recours de la recourante), et depuis lors, par chaque acte judiciaire des parties de sorte qu’à ce jour, la prescription n’est pas acquise. 5. L'action en réparation du dommage n'étant pas prescrite, il convient à présent d’examiner si les autres conditions de la responsabilité de l’art. 52 LAVS sont réalisées.</w:t>
      </w:r>
    </w:p>
    <w:p>
      <w:r>
        <w:t>A/1800/2023 - 10/20 - 5.1 5.1.1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5.1.2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t>A/1800/2023 - 11/20 -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w:t>
      </w:r>
    </w:p>
    <w:p>
      <w:r>
        <w:rPr>
          <w:b/>
        </w:rPr>
        <w:t>E. 27</w:t>
      </w:r>
    </w:p>
    <w:p>
      <w:r>
        <w:t>mars 2023 serait tardive au motif que « sur la période de l'année 2020, [l'intimée] ne lui [avait] jamais fait part de cette créance » alors qu'elle avait encore « les moyens d'agir ». Dès lors, en réagissant tardivement, l'intimée n'était plus en mesure « d'émettre de poursuite » à son encontre et devait réclamer le paiement du montant réclamé aux « actionnaires listés auprès du registre du commerce ». La chambre de céans constate toutefois que le paiement des décomptes finaux des années 2018 et 2019 a été réclamé à la société respectivement le 19 décembre 2018 et le 13 mars 2020, soit pendant la période où la recourante était encore administratrice unique de la société et était tenue d'exercer la haute surveillance sur les personnes chargées de la gestion de celle-ci. Le décompte du 13 mars 2020 a par ailleurs été adressé à l'attention de la société, mais à l'adresse personnelle de la recourante. Outre le fait que la recourante n'a pas contesté avoir reçu ce décompte, elle n'a pas non plus contesté le montant de la créance susvisée qui ressort des pièces produites par l'intimée. Il sera donc retenu, au degré de la vraisemblance prépondérante, que la recourante a été dûment informée de la créance litigieuse au mois de mars 2020 déjà. S'agissant de la durée de la responsabilité de l'administrateur qui, selon la jurisprudence, s'étend jusqu'à ce que celui-ci quitte effectivement le conseil d'administration et non pas jusqu'à la date où son nom est radié du registre du commerce (cf. ATF 126 V 61 consid. 4a), la recourante a indiqué qu'elle aurait encore eu les moyens d'agir durant l'année 2020, de sorte que sa responsabilité doit être retenue pour toute la période couverte par la décision litigieuse, soit les cotisations salariales de janvier 2018 à juin 2019. Enfin, il est constaté que la passivité de la recourante est en relation de causalité naturelle et adéquate avec le dommage subi par l'intimée. En effet, contrairement à ce qu'elle soutient, même dans l'hypothèse, non démontrée dans le cas d'espèce, que les actionnaires auraient employé l'appelée en cause à son insu, ce fait ne présenterait rien de si exceptionnel et imprévisible qu'il reléguerait à l'arrière-plan sa négligence grave. En effet, si la recourante avait correctement exécuté son mandat d'administratrice unique, elle aurait pu constater, à la simple lecture du RC, que l'appelée en cause était inscrite comme directrice de la société depuis le 4 novembre 2016, s'enquérir de sa rémunération et s'assurer que les cotisations d'assurances sociales y afférentes étaient dûment payées.</w:t>
      </w:r>
    </w:p>
    <w:p>
      <w:r>
        <w:t>A/1800/2023 - 17/20 - En définitive, outre le fait que la recourante n'est pas parvenue à démontrer que l'appelée en cause était à la fois directrice et actionnaire de la société, au vu de la liste des détenteurs des actions de la société, datée du 11 octobre 2019 et indiquant que l'actionnaire unique était D______, il apparaît que, quelque ait été le rôle concret de l'appelée en cause dans la marche des affaires de la société, la recourante échoue à démontrer que celui-ci relèguerait à l’arrière-plan son défaut de surveillance et de gestion, étant rappelé que la jurisprudence se montre stricte à cet égard (arrêt du Tribunal fédéral 9C_779/2020 du 7 mai 2021 consid. 3.2 et les références). 5.3 Au vu de ce qui précède, la chambre de céans retiendra que la recourante n'a pas assumé, dans les faits, son mandat d'administratrice unique de la société, de sorte que sa responsabilité, au sens de l'art. 52 LAVS, doit être confirmée. 6. Il reste à examiner le montant du dommage subi par l'intimée. 6.1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DP, n. 8017). Les éventuelles amendes prononcées par la caisse de compensation ne font pas partie du dommage et doivent le cas échéant être déduites (arrêt du tribunal fédéral des assurances H 142/03 du 19 août 2003 consid. 5.5). S'agissant des cotisations dues en vertu de la loi instituant une assurance en cas de maternité et d'adoption du 21 avril 2005 (LAMat - J 5 07), par arrêt du</w:t>
      </w:r>
    </w:p>
    <w:p>
      <w:r>
        <w:rPr>
          <w:b/>
        </w:rPr>
        <w:t>E. 30</w:t>
      </w:r>
    </w:p>
    <w:p>
      <w:r>
        <w:t>janvier 2020 consid. 14).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6.2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w:t>
      </w:r>
    </w:p>
    <w:p>
      <w:r>
        <w:t>A/1800/2023 - 18/20 -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(PIREK, op cit., 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(PIREK, op cit., p. 138). 6.3 En l'occurrence, dans la mesure où la demande en réparation du dommage a été rendue par l'intimée le 27 mars 2023, soit postérieurement à l'entrée en vigueur de l'art. 11A LAMat, se pose la question de l'application de cette disposition dans le cas d'espèce. La demande en réparation du dommage susvisée avait pour objet le paiement des cotisations salariales impayées des années 2018 et 2019,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L'intimée n'était donc pas fondée à réclamer à la recourante le montant correspondant aux cotisations dues en vertu de la LAMat. Eu égard à ce qui précède, le recours est très partiellement admis. La décision litigieuse du 26 avril 2023 est annulée et la cause doit être renvoyée à l'intimée, afin qu'elle procède à un nouveau calcul du dommage excluant les cotisations impayées fondées sur la LAMat et les autres frais afférents à ces montants, notamment les intérêts moratoires. Dans le cadre de sa nouvelle décision, l'intimée devra également tenir compte de tout éventuel versement effectué dans l'intervalle par l'appelée en cause, au vu de de la décision sur opposition du 29 juin 2023 rendue à l'encontre de cette dernière. 7. La recourante, qui obtient très partiellement gain de cause, n'est pas représentée en justice et n'a pas allégué ou démontré avoir déployé des efforts dépassant la mesure de ce que tout un chacun consacre à la gestion courante de ses affaires, n'a pas droit à des dépens.</w:t>
      </w:r>
    </w:p>
    <w:p>
      <w:r>
        <w:t>A/1800/2023 - 19/20 - Pour le surplus, la procédure est gratuite (art. 61 let. fbis LPGA a contrario et 89H al. 1 LPA).</w:t>
      </w:r>
    </w:p>
    <w:p>
      <w:r>
        <w:t>A/1800/2023 - 20/20 - PAR CES MOTIFS, LA CHAMBRE DES ASSURANCES SOCIALES : Statuant À la forme : 1. Déclare le recours recevable. Au fond : 2. L'admet très partiellement. 3. Annule la décision sur opposition du 26 avril 2023. 4. Renvoie la cause à l'intimée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