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ATAS/470/2020 vom 11. Juni 2020</w:t>
      </w:r>
    </w:p>
    <w:p>
      <w:r>
        <w:t>GE Cour de justice, 2020-06-11, FR</w:t>
      </w:r>
    </w:p>
    <w:p>
      <w:r>
        <w:rPr>
          <w:b/>
        </w:rPr>
        <w:t xml:space="preserve">Quelle: </w:t>
      </w:r>
      <w:r>
        <w:t>https://mcp.opencaselaw.ch/entscheid/ge_gerichte_ATAS_470_2020</w:t>
      </w:r>
    </w:p>
    <w:p>
      <w:r>
        <w:t>FR: GE_GERICHTE ATAS/470/2020 du 11 juin 2020</w:t>
      </w:r>
    </w:p>
    <w:p>
      <w:r>
        <w:t>IT: GE_GERICHTE ATAS/470/2020 del 11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 après dans leur teneur en vigueur depuis le 1er janvier 2017.</w:t>
      </w:r>
    </w:p>
    <w:p>
      <w:r>
        <w:rPr>
          <w:b/>
        </w:rPr>
        <w:t>E. 3</w:t>
      </w:r>
    </w:p>
    <w:p>
      <w:r>
        <w:t>Le recours, interjeté dans les forme et délai prévus par la loi, est recevable (art. 56 LPGA; art. 62 al. 1 de la de loi sur la procédure administrative du 12 septembre 1985 [LPA - E 5 10]).</w:t>
      </w:r>
    </w:p>
    <w:p>
      <w:r>
        <w:rPr>
          <w:b/>
        </w:rPr>
        <w:t>E. 4</w:t>
      </w:r>
    </w:p>
    <w:p>
      <w:r>
        <w:t>Le litige porte sur la question de savoir si l'événement du 14 août 2018 peut être qualifié d'accident ou être assimilé à un accident.</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w:t>
      </w:r>
    </w:p>
    <w:p>
      <w:r>
        <w:t>- 6/10 -</w:t>
      </w:r>
    </w:p>
    <w:p>
      <w:r>
        <w:t>A/1283/2019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l’absence de facteur externe constitue une probabilité accrue qu'elle est d'origine maladive (ATF 99 V 136 consid. 1). A cet égard, le facteur externe est un élément central (ATF 134 V 72 consid. 4.1;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w:t>
      </w:r>
    </w:p>
    <w:p>
      <w:r>
        <w:t>- 7/10 -</w:t>
      </w:r>
    </w:p>
    <w:p>
      <w:r>
        <w:t>A/1283/2019 Lorsque tel n'est pas le cas, il est plus vraisemblable que l'atteinte soit d'origine maladive (arrêt du Tribunal fédéral 8C_693/2010 du 25 mars 2011 consid. 5.2).</w:t>
      </w:r>
    </w:p>
    <w:p>
      <w:r>
        <w:rPr>
          <w:b/>
        </w:rPr>
        <w:t>E. 6</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t>- 8/10 -</w:t>
      </w:r>
    </w:p>
    <w:p>
      <w:r>
        <w:t>A/1283/2019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w:t>
      </w:r>
    </w:p>
    <w:p>
      <w:r>
        <w:t>En l’espèce, on ne se trouve pas en présence d’une lésion mentionnée à l’art. 6 al. 2 LAA. La présomption que l’on est en présence d’une lésion semblable aux conséquences d’un accident devant être prise en charge par l’assureur-accidents ne s’applique donc pas. Se pose dès lors la question d’un facteur extérieur extraordinaire. A cet égard, on peut, avec l’intimée, rappeler la jurisprudence et, en particulier, les cas dans lesquels l’événement accidentel a été nié en raison notamment de l’absence d’effort excessif : - un employé d’hôpital occupé à déplacer, de la table d’opération à un lit, un malade encore partiellement endormi et pesant entre 100 et 120 kilos (ATF 116 V 136 consid. 3c); - un infirmier ayant éprouvé des douleurs cervicales après avoir exécuté un mouvement brusque de rotation pour retenir une patiente sur le point de chuter (arrêt 8C 726/2009 du 30 avril 2010); - un infirmier ayant réceptionné une patiente qui s’évanouissait (arrêt I 238/99 du 14 février 2000); - un ouvrier chargé de transporter avec un collègue une vitre d’un poids d’environ 200 kilos sur une distance d’un à deux mètres et qui, lors du transport, a ressenti une douleur au dos (arrêt I 214/95 du 23 décembre 1996);</w:t>
      </w:r>
    </w:p>
    <w:p>
      <w:r>
        <w:t>- 9/10 -</w:t>
      </w:r>
    </w:p>
    <w:p>
      <w:r>
        <w:t>A/1283/2019 - un maçon-carreleur ayant éprouvé des douleurs dorsales en posant une dalle de 85 kilos (arrêt I 7/00 du 27 juillet 2001); - un monteur en chauffage s’étant blessé au sternum et à l’épaule en soulevant avec un collègue un radiateur de 100 kilos (arrêt I 110/99 du 12 avril 2000 consid. 2 et 3); - un aide-monteur dans la construction métallique ayant eu à soulever une charge de 140 kilos avec un collègue (arrêt 8C 245/2015 du 19 août 2015). Au vu des cas énoncés supra, il apparaît manifeste que les faits tels que décrits par le recourant lors de ses premières déclarations, voire même par la suite, ne corroborent pas l’existence d’un facteur extérieur extraordinaire, d’autant moins que le déséquilibre allégué a posteriori n’avait pas été évoqué avant que l’intéressé ne s’adjoigne les conseils d’un avocat. Le fait qu’il n’en ait été qu’à ses débuts en tant que monteur d’échafaudages n’y change rien. L’effort exercé n’avait rien d’extraordinaire pour le recourant, dont il convient de rappeler que, dans la force de l’âge, il avait auparavant exercé des professions physiques comme celles d’agriculteur, de maçon et d’ouvrier sur autoroute. Au vu de ce qui précède, l’évènement ne saurait être qualifié d’accident au sens de la LAA. En conséquence, le recours est rejeté. Pour le surplus, la procédure est gratuite (art. 61 let. a LPGA).</w:t>
      </w:r>
    </w:p>
    <w:p>
      <w:r>
        <w:t>- 10/10 -</w:t>
      </w:r>
    </w:p>
    <w:p>
      <w:r>
        <w:t>A/1283/2019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