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ATAS/470/2014 vom 3. April 2014</w:t>
      </w:r>
    </w:p>
    <w:p>
      <w:r>
        <w:t>GE Cour de justice, 2014-04-03, FR</w:t>
      </w:r>
    </w:p>
    <w:p>
      <w:r>
        <w:rPr>
          <w:b/>
        </w:rPr>
        <w:t xml:space="preserve">Quelle: </w:t>
      </w:r>
      <w:r>
        <w:t>https://mcp.opencaselaw.ch/entscheid/ge_gerichte_ATAS_470_2014</w:t>
      </w:r>
    </w:p>
    <w:p>
      <w:r>
        <w:t>FR: GE_GERICHTE ATAS/470/2014 du 3 avril 2014</w:t>
      </w:r>
    </w:p>
    <w:p>
      <w:r>
        <w:t>IT: GE_GERICHTE ATAS/470/2014 del 3 aprile 2014</w:t>
      </w:r>
    </w:p>
    <w:p>
      <w:pPr>
        <w:pStyle w:val="Heading2"/>
      </w:pPr>
      <w:r>
        <w:t>Erwägungen</w:t>
      </w:r>
    </w:p>
    <w:p>
      <w:r>
        <w:rPr>
          <w:b/>
        </w:rPr>
        <w:t>E. 1</w:t>
      </w:r>
    </w:p>
    <w:p>
      <w:r>
        <w:t>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chambre de céans pour juger du cas d’espèce est ainsi établie.</w:t>
      </w:r>
    </w:p>
    <w:p>
      <w:r>
        <w:rPr>
          <w:b/>
        </w:rPr>
        <w:t>E. 2</w:t>
      </w:r>
    </w:p>
    <w:p>
      <w:r>
        <w:t>La LPGA, entrée en vigueur le 1er janvier 2003, est applicable au cas d'espèce.</w:t>
      </w:r>
    </w:p>
    <w:p>
      <w:r>
        <w:rPr>
          <w:b/>
        </w:rPr>
        <w:t>E. 3</w:t>
      </w:r>
    </w:p>
    <w:p>
      <w:r>
        <w:t>Il convient en premier lieu d’examiner la recevabilité du recours interjeté le 28 février 2014 contre la décision du 22 janvier.</w:t>
      </w:r>
    </w:p>
    <w:p>
      <w:r>
        <w:rPr>
          <w:b/>
        </w:rPr>
        <w:t>E. 4</w:t>
      </w:r>
    </w:p>
    <w:p>
      <w:r>
        <w:t>L'art. 61 LPGA prévoit que la procédure devant la chambre des assurances sociales est réglée par le droit cantonal, sous réserve que celui-ci respecte les exigences minimales requises par la LPGA.</w:t>
      </w:r>
    </w:p>
    <w:p>
      <w:r>
        <w:t>- 3/5-</w:t>
      </w:r>
    </w:p>
    <w:p>
      <w:r>
        <w:t>A/637/2014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 89C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w:t>
      </w:r>
    </w:p>
    <w:p>
      <w:r>
        <w:t>- 4/5-</w:t>
      </w:r>
    </w:p>
    <w:p>
      <w:r>
        <w:t>A/637/2014 guichet postal en cas d'absence lors du passage du facteur (ATFA non publié du 11 avril 2005, C 24/05 consid. 4.1).</w:t>
      </w:r>
    </w:p>
    <w:p>
      <w:r>
        <w:rPr>
          <w:b/>
        </w:rPr>
        <w:t>E. 5</w:t>
      </w:r>
    </w:p>
    <w:p>
      <w:r>
        <w:t>En l'occurrence, le délai de recours est venu à échéance le 21 février 2014, soit 30 jours après la réception de la décision litigieuse, le 22 janvier 2014, de sorte que le recours, interjeté le 28 février 2014, l’a été tardivement. Reste à examiner si une restitution de délai peut être accordée. Tel peut être le cas, de manière exceptionnelle, à condition que le requérant ait été empêché, sans sa faute, d’agir dans le délai fixé et pour autant qu’une demande de restitution motivée, indiquant la nature de l’empêchement, soit présentée en temps utile.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la recourante n’a fait valoir aucun motif de restitution du délai de recours. Eu égard à ce qui précède, le recours doit être déclaré irrecevable pour cause de tardiveté.</w:t>
      </w:r>
    </w:p>
    <w:p>
      <w:r>
        <w:t>- 5/5-</w:t>
      </w:r>
    </w:p>
    <w:p>
      <w:r>
        <w:t>A/637/2014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