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ATAS/46/2022 vom 24. Januar 2022</w:t>
      </w:r>
    </w:p>
    <w:p>
      <w:r>
        <w:t>GE Cour de justice, 2022-01-24, FR</w:t>
      </w:r>
    </w:p>
    <w:p>
      <w:r>
        <w:rPr>
          <w:b/>
        </w:rPr>
        <w:t xml:space="preserve">Quelle: </w:t>
      </w:r>
      <w:r>
        <w:t>https://mcp.opencaselaw.ch/entscheid/ge_gerichte_ATAS_46_2022</w:t>
      </w:r>
    </w:p>
    <w:p>
      <w:r>
        <w:t>FR: GE_GERICHTE ATAS/46/2022 du 24 janvier 2022</w:t>
      </w:r>
    </w:p>
    <w:p>
      <w:r>
        <w:t>IT: GE_GERICHTE ATAS/46/2022 del 24 gennaio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art. 62 al. 1 de la loi sur la procédure administrative du 12 septembre 1985 [LPA - E 5 10]). Interjeté dans la forme et le délai prévus par la loi, le recours est recevable.</w:t>
      </w:r>
    </w:p>
    <w:p>
      <w:r>
        <w:rPr>
          <w:b/>
        </w:rPr>
        <w:t>E. 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2.2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A/1945/2021 - 6/18 -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2.3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A/1945/2021 - 7/18 - Sans remettre en cause le principe de la libre appréciation des preuves, le Tribunal fédéral des assurances a posé des lignes directrices en ce qui concerne la manière d'apprécier certains types d'expertises ou de rapports médicaux.</w:t>
      </w:r>
    </w:p>
    <w:p>
      <w:r>
        <w:rPr>
          <w:b/>
        </w:rPr>
        <w:t>E. 3.2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w:t>
      </w:r>
    </w:p>
    <w:p>
      <w:r>
        <w:t>A/1945/2021 - 8/18 -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w:t>
      </w:r>
    </w:p>
    <w:p>
      <w:r>
        <w:t>A/1945/2021 - 9/18 -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4.3</w:t>
      </w:r>
    </w:p>
    <w:p>
      <w:r>
        <w:t>et la référence ; arrêt du Tribunal fédéral 9C_724/2018 du 11 juillet 2019 consid. 7). En l’absence d’un diagnostic psychiatrique, une telle appréciation n’a pas non plus à être effectuée (arrêt du Tribunal fédéral 9C_176/2018 du 16 août 2018 consid. 3.2.2).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(consid. 4.2.2 supra) - que la mise en valeur de sa capacité de travail sur le marché du travail ne peut plus du tout ou seulement partiellement être exigible de sa part (voir aussi</w:t>
      </w:r>
    </w:p>
    <w:p>
      <w:r>
        <w:t>A/1945/2021 - 10/18 -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w:t>
      </w:r>
    </w:p>
    <w:p>
      <w:r>
        <w:rPr>
          <w:b/>
        </w:rPr>
        <w:t>E. 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A/1945/2021 - 11/18 -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A/1945/2021 - 12/18 -</w:t>
      </w:r>
    </w:p>
    <w:p>
      <w:r>
        <w:rPr>
          <w:b/>
        </w:rPr>
        <w:t>E. 8</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w:t>
      </w:r>
    </w:p>
    <w:p>
      <w:r>
        <w:t>A/1945/2021 - 13/18 - disposait subjectivement pas des capacités d’adaptation nécessaires à cette fin (arrêt du Tribunal fédéral 9C_578/2009 du 29 décembre 2009 consid. 4.3.2).</w:t>
      </w:r>
    </w:p>
    <w:p>
      <w:r>
        <w:rPr>
          <w:b/>
        </w:rPr>
        <w:t>E. 9.1</w:t>
      </w:r>
    </w:p>
    <w:p>
      <w:r>
        <w:t>En l’occurrence, l’intimé s’est fondé, pour rendre la décision litigieuse, sur l’expertise rhumatologique du Dr C______ du 11 décembre 2020, laquelle conclut à une capacité de travail exigible de la recourante depuis juin 2019 de 50% dans une activité adaptée aux limitations fonctionnelles (soit en position assise, à hauteur de bureau, avec la possibilité de se lever par intermittence). Selon l’intimé, en 2018, le SMR avait exclu le caractère incapacitant de la fibromyalgie et l’expertise du Dr C______ permettait d’apprécier l’état de santé de la recourante à la lumière des indicateurs déterminants.</w:t>
      </w:r>
    </w:p>
    <w:p>
      <w:r>
        <w:rPr>
          <w:b/>
        </w:rPr>
        <w:t>E. 9.2</w:t>
      </w:r>
    </w:p>
    <w:p>
      <w:r>
        <w:t>Fondé sur les pièces du dossier et un examen de la recourante, comprenant les plaintes de celle-ci, une anamnèse, la description de la vie quotidienne, des diagnostics clairs et une motivation convaincante de la capacité de travail, le rapport d’expertise du Dr C______ répond aux critères jurisprudentiels précités pour qu’il lui soit reconnu une pleine valeur probante. L’expert retient des diagnostics incapacitants de polyarthrose (colonne cervicale, dorsale, lombaire, épaule droite, articulations sacro-iliaques et genoux), des lombalgies chroniques non-déficitaires et un syndrome de la coiffe des rotateurs de l’épaule droite avec tendinopathie du sus-épineux. Ces atteintes entraînent des limitations fonctionnelles et une réduction de la capacité de travail à un taux de 50% depuis juin 2019, date à laquelle le Dr B______, médecin traitant, a signalé une aggravation de l’état de santé objectivée à l’imagerie (soit des lombalgies, des gonalgies, une rhizarthrose à droite et des douleurs à l’épaule droite). Il existait en outre une fibromyalgie (les signes comportementaux de Waddel étaient de 5/5 et la recourante présentait des douleurs diffuses). Les douleurs de l’arthrose s’entremêlaient avec celle de la fibromyalgie et celle-ci n’était pas incapacitante.</w:t>
      </w:r>
    </w:p>
    <w:p>
      <w:r>
        <w:rPr>
          <w:b/>
        </w:rPr>
        <w:t>E. 9.3</w:t>
      </w:r>
    </w:p>
    <w:p>
      <w:r>
        <w:t>La recourante conteste la valeur probante de cette expertise. Elle estime que l’influence de la fibromyalgie sur sa capacité de travail doit être évaluée par un psychiatre, à l’aide des indicateurs jurisprudentiels pertinents, ce d’autant que l’expertise du CEMEDEX de 2018 ne comprend pas de volet psychiatrique, que des motifs d’exclusion du caractère invalidant de l’atteinte n’ont pas été mentionnés par les experts et que l’avis du SMR du 29 mars 2018 était contradictoire sur la question du caractère incapacitant des douleurs. Par ailleurs, l’expertise ne tenait pas compte de ses affections cardiologiques, gastriques et neurologiques (maux de tête).</w:t>
      </w:r>
    </w:p>
    <w:p>
      <w:r>
        <w:rPr>
          <w:b/>
        </w:rPr>
        <w:t>E. 9.3.1</w:t>
      </w:r>
    </w:p>
    <w:p>
      <w:r>
        <w:t>En l’occurrence, l’expertise du Dr C______ et celle du CEMEDEX permettent de renoncer à l’exigence d’une analyse structurée par un expert psychiatre à l’aune des indicateurs jurisprudentiels pertinents, les experts ayant pu d’emblée constater, par des observations médicales concluantes, que les critères déterminants ne sont pas présents d’une manière suffisamment intense pour</w:t>
      </w:r>
    </w:p>
    <w:p>
      <w:r>
        <w:t>A/1945/2021 - 14/18 - conclure à une fibromyalgie incapacitante, en sus de l’incapacité de travail de 50% déjà reconnue à la recourante dans toute activité. La recourante présente principalement des douleurs objectivées qui sont étendues puisqu’elles sont liées à des atteintes dégénératives de la colonne cervicale, dorsale, lombaire, de l’épaule droite, du pouce de la main droite, des articulations sacro- iliaques et des genoux. Ces douleurs justifient la limitation de la capacité de travail à un taux de 50% dans une activité adaptée. Dans ce contexte, l’expert C______ a estimé que les douleurs dues à la fibromyalgie, qui n’étaient pas expliquées par la polyarthrose, s’entremêlaient avec celle-ci et apparaissaient secondaires. À cet égard, la description des plaintes de la recourante démontre que les douleurs avec une prédominance au niveau lombaire sont principalement liées aux atteintes somatiques et que c’est seulement questionnée par l’expert, qu’elle indique qu’elle a mal partout, les plaintes spontanées étant celles liées aux atteintes somatiques objectivées. L’expertise du CEMEDEX pose également le diagnostic de fibromyalgie, avec un seuil abaissé de la douleur et une estimation des douleurs au-delà des articulations lésées ; les atteintes objectivées justifient déjà les limitations fonctionnelles et n’autorisent qu’une activité légère, permettant l’alternance des positions sans utilisation soutenue des mains ou de travaux de manutention en force. L’évaluation de la fibromyalgie par le biais des indicateurs jurisprudentiels pertinents n’apparaît pas nécessaire au vu des constatations des experts rhumatologues. Cela dit, l’expertise du CEMEDEX et le rapport du SMR du 29 mars 2018 permettent néanmoins de faire une telle appréciation, laquelle conduit à nier le caractère incapacitant de la fibromyalgie. Les experts du CEMEDEX relèvent en effet une divergence entre le comportement de la recourante et ses déclarations d’intenses souffrances, suggérant une amplification des douleurs. La recourante était très entourée et sa passivité s’expliquait ainsi par des facteurs socio-culturels ; la cohérence avec la diminution des activités dans tous les domaines de la vie n’est pas confirmée par l’expert et la renonciation aux tâches ménagères est expliquée partiellement par des motifs médicaux. Ces constatations ont été reprises le 29 mars 2018 par le SMR, lequel, après analyse de l’expertise du CEMEDEX, a estimé que la fibromyalgie était d’intensité légère et que l’analyse des indicateurs jurisprudentiels pouvait être effectuée. La fibromyalgie n’était pas incapacitante, ce d’autant qu’il n’y avait pas d’atteinte psychiatrique et que la recourante bénéficiait d’un excellent encadrement familial. Ces considérations n’ont pas été contestées par l’expertise du Dr C______, lequel ne fait pas état de modifications manifestes, que ce soit dans la vie quotidienne de la recourante ou par rapport aux plaintes reliées à la fibromyalgie. Par ailleurs, la recourante n’invoque pas d’atteinte psychiatrique en sus des atteintes somatiques. C’est ainsi avec pertinence que l’intimé a estimé que la fibromyalgie était légère et non incapacitante.</w:t>
      </w:r>
    </w:p>
    <w:p>
      <w:r>
        <w:rPr>
          <w:b/>
        </w:rPr>
        <w:t>E. 9.3.2</w:t>
      </w:r>
    </w:p>
    <w:p>
      <w:r>
        <w:t>S’agissant de la valeur probante de l’expertise du CEMEDEX, la recourante a relevé que le médecin ayant résumé le dossier est l’experte en médecine générale</w:t>
      </w:r>
    </w:p>
    <w:p>
      <w:r>
        <w:t>A/1945/2021 - 15/18 - qui a participé à l’expertise, alors que le rapport d’expertise du CEMEDEX mentionne le contraire. Interpellé sur cette contradiction, le CEMEDEX a estimé que cette erreur n’était pas importante et n’avait aucune incidence sur la valeur probante du rapport d’expertise. A cet égard, le Tribunal fédéral a jugé que le nom du médecin auquel est confiée la tâche d’établir l’anamnèse de base ou le résumé du dossier ou celle de relire l’expertise afin d’en assurer la pertinence formelle doit être communiqué au préalable à l’assuré. Cette violation peut être réparée en communiquant postérieurement à l’expertise le nom des médecins précités (ATF 146 V 9). En l’occurrence, la recourante a eu connaissance du nom des médecins ayant résumé et relu l’expertise et ne soulève pas de motifs de récusation à leur encontre, étant relevé que l’identité de la Dresse D______ lui était déjà connue. En revanche, c’est à juste titre que la recourante relève que le rapport d’expertise contient une mention erronée, laquelle n’a pas l’importance minime que veut lui donner le CEMEDEX. En tant que l’anamnèse et le résumé du dossier est une tâche fondamentale d’expertise (arrêt du Tribunal fédéral 9C 561/20 du 10 juin 2021), l’assuré est en droit de recevoir des informations conformes à la vérité sur l’identité de son auteur. Indiquer à l’assuré que le médecin qui analyse et résume le dossier ne participe pas aux examens – ce qui entend souligner que le centre d’expertise met en place une procédure qui se veut être la plus objective possible – , alors que tel n’est pas le cas, entache le sérieux et la crédibilité du processus d’expertise. Cela dit, il convient d’admettre que cette erreur n’est, en l’espèce, pas de nature à mettre en cause, sans autre élément pertinent, les constatations et conclusions médicales du rapport du CEMEDEX, dont la valeur probante n’a d’ailleurs pas été contestée par la recourante dans le cadre de la procédure de révision entamée le 18 mai 2015.</w:t>
      </w:r>
    </w:p>
    <w:p>
      <w:r>
        <w:rPr>
          <w:b/>
        </w:rPr>
        <w:t>E. 9.3.3</w:t>
      </w:r>
    </w:p>
    <w:p>
      <w:r>
        <w:t>Enfin, c’est à tort que la recourante invoque des atteintes cardiologiques, neurologiques et gastroentérologiques qui n’auraient pas été prises en compte par l’intimé. En effet, les céphalées et les épigastralgies ont été mentionnées par les experts dans les plaintes de la recourante (expertise du CEMEDEX p. 23 et 24 et expertise C______ p. 5). L’expertise neurologique et de médecine interne du CEMEDEX n’a cependant pas posé à cet égard de diagnostics avec influence sur la capacité de travail, estimant qu’ils n’étaient pas déterminants. Quant aux plaintes cardiovasculaires de la recourante (qui relate un traitement à l’aspirine cardio), elles ne sont pas étayées par des constatations médicales et le status cardiovasculaire a été établi tant par l’expert de médecine interne du CEMEDEX (expertise p. 29) que par le Dr C______ qui a relevé que la recourante n’avait pas de problèmes cardiaques (expertise C______ p. 5).</w:t>
      </w:r>
    </w:p>
    <w:p>
      <w:r>
        <w:rPr>
          <w:b/>
        </w:rPr>
        <w:t>E. 9.4</w:t>
      </w:r>
    </w:p>
    <w:p>
      <w:r>
        <w:t>Au vu de ce qui précède, les conclusions de l’expertise du Dr C______ peuvent être suivies et la recourante doit se voir reconnaître une capacité de travail limitée à un taux de 50% dans une activité adaptée à ses limitations fonctionnelles depuis juin 2019. Par appréciation anticipée des preuves, il sera donc renoncé à</w:t>
      </w:r>
    </w:p>
    <w:p>
      <w:r>
        <w:t>A/1945/2021 - 16/18 - l’ordonnance d’une expertise pluridisciplinaire judiciaire, comme requis par la recourante.</w:t>
      </w:r>
    </w:p>
    <w:p>
      <w:r>
        <w:rPr>
          <w:b/>
        </w:rPr>
        <w:t>E. 10</w:t>
      </w:r>
    </w:p>
    <w:p>
      <w:r>
        <w:t>La recourante estime encore qu’étant proche de l’âge de la retraite, sans expérience professionnelle, maîtrisant mal le français, possédant peu de capacités cognitives et d’adaptation, éloignée du marché professionnel depuis de longues années et présentant de nombreuses limitations fonctionnelles, il ne peut être exigé d’elle la reprise d’une activité professionnelle. L’intimé n’a pas fixé précisément le moment déterminant pour tenir compte de l’âge de la recourante puisqu’il a évoqué juin 2019 (cf. procès-verbal d’audition du 18 octobre 2021), puis 2018 et 2019 (détermination de l’intimé du 12 novembre 2021). Il convient de déterminer, conformément à la jurisprudence précitée, le moment où les documents médicaux permettent de fixer de manière fiable la capacité de travail de la recourante. À cet égard, le rapport d’expertise du CEMEDEX a été rendu le 8 février 2018. Il a ensuite fait l’objet d’une analyse par le SMR, lequel a estimé le 29 mars 2018 que la capacité de travail de la recourante était finalement de 90% dans une activité adaptée aux limitations fonctionnelles, depuis février 2014. Cette conclusion n’a pas été contestée par la recourante, la décision de l’intimé qui l’a suivi, du 13 juillet 2018, étant entrée en force. Il y a ainsi lieu de retenir que le moment où les documents médicaux permettent d’établir de manière fiable la capacité de travail de la recourante, au sens de la jurisprudence précitée, correspond à la date du rapport du SMR du 29 mars 2018. Certes, par la suite, soit en décembre 2020, le Dr C______ a-t-il attesté d’une capacité de travail dans une activité adaptée aux limitations fonctionnelles de la recourante réduite à un taux de 50% depuis juin 2019. Reste qu’en 2018 déjà, l’exigibilité avait été clairement fixée par une expertise pluridisciplinaire et un avis du SMR, de sorte que l’aggravation de l’état de santé constatée par la suite depuis juin 2019 ne permet pas d’exclure la prise en compte de l’exigibilité établie en mars 2018. Cela est d’autant plus vrai que l’activité exigible depuis juin 2019, soit une activité en position assise à hauteur de bureau, avec possibilité de se lever par intermittence, est similaire à celle évaluée en 2018, soit une activité légère permettant l’alternance des positions, sans utilisation des mains ou de travaux de manutention en force. Ainsi, la recourante, dont il était admis en 2018 qu’elle présentait une capacité de travail à un taux de 90% dans une activité adaptée, aurait pu la maintenir dès juin 2019 à un taux de 50%, sans nécessité de se réadapter. À la date de mars 2018, la recourante était âgée de presque 58 ans, soit un âge qui n’est pas considéré comme étant proche de l’âge donnant droit à la rente de vieillesse (à cet égard, arrêt du Tribunal fédéral 8C 761/2014 du 15 octobre 2015) et il convient d’admettre qu’elle était encore objectivement susceptible d’être engagée par un employeur potentiel, même à un taux de travail de 50%, depuis juin 2019, comme attesté par l’expertise de 2020. En conséquence, le moyen tiré de la proximité de l’âge de la retraite est infondé.</w:t>
      </w:r>
    </w:p>
    <w:p>
      <w:r>
        <w:t>A/1945/2021 - 17/18 -</w:t>
      </w:r>
    </w:p>
    <w:p>
      <w:r>
        <w:rPr>
          <w:b/>
        </w:rPr>
        <w:t>E. 11</w:t>
      </w:r>
    </w:p>
    <w:p>
      <w:r>
        <w:t>Le calcul du degré d’invalidité de la recourante n’est pas contesté par celle-ci et peut être confirmé, étant constaté qu’un abattement de 20% sur le revenu d’invalide tient suffisamment compte de l’âge de la recourante. Cela étant, même si l’on retenait le taux d’abattement maximal de 25%, le degré d’invalidité obtenu (soit 63%) ne donnerait pas droit à une rente d’invalidité supérieure à un trois quart de rente.</w:t>
      </w:r>
    </w:p>
    <w:p>
      <w:r>
        <w:rPr>
          <w:b/>
        </w:rPr>
        <w:t>E. 12</w:t>
      </w:r>
    </w:p>
    <w:p>
      <w:r>
        <w:t>Partant, le recours ne peut qu’être rejeté. Un émolument de CHF 200.- sera mis à la charge de la recourante (art. 69 al.1bis LAI).</w:t>
      </w:r>
    </w:p>
    <w:p>
      <w:r>
        <w:t>A/1945/2021 - 18/18 -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