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ATAS/46/2020 vom 27. Januar 2020</w:t>
      </w:r>
    </w:p>
    <w:p>
      <w:r>
        <w:t>GE Cour de justice, 2020-01-27, FR</w:t>
      </w:r>
    </w:p>
    <w:p>
      <w:r>
        <w:rPr>
          <w:b/>
        </w:rPr>
        <w:t xml:space="preserve">Quelle: </w:t>
      </w:r>
      <w:r>
        <w:t>https://mcp.opencaselaw.ch/entscheid/ge_gerichte_ATAS_46_2020</w:t>
      </w:r>
    </w:p>
    <w:p>
      <w:r>
        <w:t>FR: GE_GERICHTE ATAS/46/2020 du 27 janvier 2020</w:t>
      </w:r>
    </w:p>
    <w:p>
      <w:r>
        <w:t>IT: GE_GERICHTE ATAS/46/2020 del 27 gennaio 2020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Georges ZUFFEREY, Juges assesseurs</w:t>
      </w:r>
    </w:p>
    <w:p>
      <w:r>
        <w:t>RÉPUBLIQUE ET</w:t>
      </w:r>
    </w:p>
    <w:p>
      <w:r>
        <w:t>CANTON DE GEN ÈVE POUVOIR JUDICIAIRE</w:t>
      </w:r>
    </w:p>
    <w:p>
      <w:r>
        <w:t>A/4213/2019 ATAS/46/2020 COUR DE JUSTICE Chambre des assurances sociales Arrêt du 27 janvier 2020 10ème Chambre</w:t>
      </w:r>
    </w:p>
    <w:p>
      <w:r>
        <w:t>En la cause Monsieur A______, domicilié au GRAND-LANCY, comparant avec élection de domicile en l'Etude de Maître Jacques-Alain BRON</w:t>
      </w:r>
    </w:p>
    <w:p>
      <w:r>
        <w:t>recourant</w:t>
      </w:r>
    </w:p>
    <w:p>
      <w:r>
        <w:t>contre AXA ASSURANCES SA, sise General-Guisan-Strasse 40, WINTERTHUR</w:t>
      </w:r>
    </w:p>
    <w:p>
      <w:r>
        <w:t>intimée</w:t>
      </w:r>
    </w:p>
    <w:p>
      <w:r>
        <w:t>A/4213/2019 - 2/2 - Vu la décision sur opposition du 11 octobre 2019 d’Axa assurances SA rejetant l'opposition interjetée par Monsieur A______ (ci-après: l'assuré ou le recourant) contre la décision rendue par Axa le 10 mai 2019 ; Vu le recours interjeté par l'assuré, représenté par son conseil, par mémoire du 13 novembre 2019 ; Vu le courrier du conseil du recourant du 16 janvier 2020 à la chambre de céans, indiquant que les parties ayant trouvé un accord, le recours est retiré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