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ATAS/469/2025 vom 18. Juni 2025</w:t>
      </w:r>
    </w:p>
    <w:p>
      <w:r>
        <w:t>GE Cour de justice, 2025-06-18, FR</w:t>
      </w:r>
    </w:p>
    <w:p>
      <w:r>
        <w:rPr>
          <w:b/>
        </w:rPr>
        <w:t xml:space="preserve">Quelle: </w:t>
      </w:r>
      <w:r>
        <w:t>https://mcp.opencaselaw.ch/entscheid/ge_gerichte_ATAS_469_2025</w:t>
      </w:r>
    </w:p>
    <w:p>
      <w:r>
        <w:t>FR: GE_GERICHTE ATAS/469/2025 du 18 juin 2025</w:t>
      </w:r>
    </w:p>
    <w:p>
      <w:r>
        <w:t>IT: GE_GERICHTE ATAS/469/2025 del 18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rente entière d’invalidité au-delà du 31 janvier 2023.</w:t>
      </w:r>
    </w:p>
    <w:p>
      <w:r>
        <w:rPr>
          <w:b/>
        </w:rPr>
        <w:t>E. 3</w:t>
      </w:r>
    </w:p>
    <w:p>
      <w:r>
        <w:t>juillet 2012 consid. 4.2; MARGIT MOSER-SZELESS, in Commentaire romand LPGA, 2018, n. 23 ad art. 7 LPGA).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arrêts 9C_286/2015 du 12 janvier 2016 consid. 4.2; 9C_659/2014 du 13 mars 2015 consid. 5.3.2 et les références).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(arrêts 8C_99/2019 du</w:t>
      </w:r>
    </w:p>
    <w:p>
      <w:r>
        <w:rPr>
          <w:b/>
        </w:rPr>
        <w:t>E. 3.1</w:t>
      </w:r>
    </w:p>
    <w:p>
      <w:r>
        <w:t>Le 1er janvier 2022, les modifications de la LAI du 19 juin 2020 (développement continu de l’AI ; RO 2021 705), y compris les ordonnances correspondantes, sont entrées en vigueur. Dans le cadre de cette révision, l'art. 17 LPGA a notamment été adapté.</w:t>
      </w:r>
    </w:p>
    <w:p>
      <w:r>
        <w:t>A/1239/2024 - 7/16 - Conformément aux dispositions transitoires de la modification du 19 juin 2020 let. c, l'ancien droit s'applique toutefois aux bénéficiaires de rente dont le droit à la rente a pris naissance avant l'entrée en vigueur de la modification et qui ont 55 ans révolus au moment de l'entrée en vigueur de la modification. En l’occurrence, le recourant était âgé de 56 ans au 1er janvier 2022 et son droit à une rente est né avant cette date, de sorte que les dispositions légales applicables seront citées dans leur ancienne teneur.</w:t>
      </w:r>
    </w:p>
    <w:p>
      <w:r>
        <w:rPr>
          <w:b/>
        </w:rPr>
        <w:t>E. 3.2</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w:t>
      </w:r>
    </w:p>
    <w:p>
      <w:r>
        <w:t>A/1239/2024 - 8/16 -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Lorsque la comparaison des états de fait déterminants dans le temps met en évidence une modification des circonstances pertinentes, le droit à la rente doit être examiné à nouveau sous tous ses aspects factuels et juridiques (« allseitige Prüfung »), sans que les évaluations antérieures ne revêtent un caractère obligatoire. Il n'est pas nécessaire que ce soit l'élément de fait qui s'est modifié qui conduise à fixer différemment le droit à la rente. Selon la jurisprudence, il suffit qu'à la suite de la modification d'une circonstance, un autre élément déterminant résultant de l'examen complet du droit à la prestation entraîne une augmentation, une diminution ou une suppression de la rente. Ainsi, le Tribunal fédéral a retenu que, dans le cadre de la nouvelle évaluation de l'état de santé et de la capacité de travail, un trouble de santé s'ajoutant au tableau clinique existant ne fait pas obstacle à une suppression de la rente. Sont susceptibles de faire l'objet d'une nouvelle évaluation, éventuellement divergente, les aspects qui font l'objet d'une hypothèse, par exemple les revenus sans et avec invalidité et les hypothèses qui les sous-tendent, l'état de santé ou la capacité de travail (arrêt du Tribunal fédéral 8C_240/2023 du 14 mars 2024 consid. 7.1.2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w:t>
      </w:r>
    </w:p>
    <w:p>
      <w:r>
        <w:rPr>
          <w:b/>
        </w:rPr>
        <w:t>E. 3.3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(dans sa version antérieure au 1er janvier 2004), l’assuré a droit à une rente entière s’il est invalide à 66 2/3% au moins, à une</w:t>
      </w:r>
    </w:p>
    <w:p>
      <w:r>
        <w:t>A/1239/2024 - 9/16 -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 quarts de rente s'il est invalide à 60 % au moins, à une demi- 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 versicherung, 1997, p. 8). L'évaluation de l'invalidité s'effectue à l'aune d'un marché du travail équilibré. Cette notion, théorique et abstraite, sert de critère de distinction entre les cas tombant sous le coup de l'assurance-chômage et ceux qui relèvent de l'assurance- accidents. Elle présuppose un équilibre entre l'offre et la demande de main- d'oeuvre d'une part et un marché du travail structuré (permettant d'offrir un éventail d'emplois diversifiés, au regard des sollicitations tant intellectuelles que physiques) d'autre part (cf. ATF 110 V 273 consid. 4b). D'après la jurisprudence, il n'y a pas lieu de poser des exigences excessives à la concrétisation des possibilités de travail et des perspectives de gain (ATF 138 V 457 consid. 3.1; arrêt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(arrêt 8C_910/2015 du 19 mai 2016 consid. 4.2.1, in SVR 2016 IV n° 58 p. 190).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w:t>
      </w:r>
    </w:p>
    <w:p>
      <w:r>
        <w:t>A/1239/2024 - 10/16 - automatiques ou d'unités de production, ainsi que l'activité de surveillant de musée ou de parking (cf. arrêts du Tribunal fédéral 8C_134/2020 du 29 avril 2020 consid. 4.5 8C_695/2015 du 19 novembre 2015 consid. 4.2; 8C_25/2012 du</w:t>
      </w:r>
    </w:p>
    <w:p>
      <w:r>
        <w:rPr>
          <w:b/>
        </w:rPr>
        <w:t>E. 3.4</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Un rapport du SMR a pour fonction d'opérer la synthèse des renseignements médicaux versés au dossier, de prendre position à leur sujet et de prodiguer des</w:t>
      </w:r>
    </w:p>
    <w:p>
      <w:r>
        <w:t>A/1239/2024 - 11/16 -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A/1239/2024 - 12/16 - consid. 4.4.1.3 et 4.4.1.4; SVR 2010 IV n. 49 p. 151, consid. 3.5; arrêt du Tribunal fédéral 8C_760/2011 du 26 janvier 2012 consid. 3).</w:t>
      </w:r>
    </w:p>
    <w:p>
      <w:r>
        <w:rPr>
          <w:b/>
        </w:rPr>
        <w:t>E. 3.6</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146 V 16 consid. 7.1 ; 145 V 2 consid. 5.3.1 ; 138 V 457 consid. 3). Le fait que la capacité résiduelle de travail a été recouvrée à une date antérieure, toutefois sans avoir encore été établie par des documents médicaux fiables, n'est en revanche pas déterminant (arrêt du Tribunal fédéral 8C_305/2023 du 29 février 2024 consid. 5.4).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En l'absence d'une capacité de gain résiduelle économiquement exploitable, on est en présence d'une incapacité de gain totale qui ouvre le droit à une rente d'invalidité entière (arrêt du Tribunal fédéral 9C_755/2023 du 20 février 2024 consid. 5.2.2).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arrêt du Tribunal fédéral I 376/05 du 5 août 2005 consid. 4.2), de même que pour un soudeur de 60 ans avec des limitations psychiques et physiques, notamment rhumatologiques et cardiaques, qui disposait d’une</w:t>
      </w:r>
    </w:p>
    <w:p>
      <w:r>
        <w:t>A/1239/2024 - 13/16 - capacité de travail de 70% (arrêt du Tribunal fédéral I 304/06 du 22 janvier 2007 consid. 4.2), tout comme pour un assuré âgé de 62 ans et dix mois qui disposait d’une certaine capacité d’adaptation, étant relevé que le marché du travail offre des activités autres qu’un travail sur écran, telles que le contrôle, la surveillance et la vérification, lesquelles ne nécessitent pas une longue période de formation (arrêt du Tribunal fédéral 9C_755/2023 du 20 février 2024 consid. 5.5 et la référence).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I 392/02 du 23 octobre 2003 consid. 3.3), ainsi que dans le cas d’un assuré de 64 ans capable de travailler à 50% avec de nombreuses limitations fonctionnelles (arrêt du Tribunal fédéral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4.</w:t>
      </w:r>
    </w:p>
    <w:p>
      <w:r>
        <w:t>4.1 Le recourant fait valoir que l’intimé s’est fondé uniquement sur l’avis du Dr D______ du SMR pour rendre sa décision, lequel était, sauf erreur, gynécologue et semblait peu à même d’évaluer sa capacité de travail, qui était du ressort de la rhumatologie, de la chirurgie orthopédique ou de la neurochirurgie. Lors de l’audience devant la chambre de céans, la représentante de l’intimé a indiqué que le Dr D______ est spécialisé en médecine générale et que c’était un autre médecin du même nom qui était spécialisé en gynécologie. Ces déclarations ne suffisent pas à attester de la spécialisation du médecin du SMR, étant relevé que seul un docteur D______, spécialisé en gynécologie et obstétrique, est membre FMH. Cela étant, l’appréciation du SMR, et de ce médecin en particulier, n’est pas d’emblée dénuée de toute valeur probante, pour autant qu’il n’y ait pas de doutes, même faibles sur ses conclusions. En l’occurrence, le Dr D______ a conclu le 10 janvier 2023 que le recourant était capable de travailler dans une activité adaptée à 100% dès le 4 octobre 2022 au motif que le Dr B______ avait indiqué le 4 octobre 2022 qu’il avait une capacité de travail de 100% dans une activité adaptée. La chambre de céans constate que la conclusion du Dr B______ n’est pas aussi claire que ne l’a retenu le Dr D______, dès lors que dans son rapport du 4 octobre 2022, il indiquait qu’une capacité de travail à 100% était seulement envisageable. De plus, dans son rapport du 5 avril 2022, il estimait nécessaire de faire une</w:t>
      </w:r>
    </w:p>
    <w:p>
      <w:r>
        <w:t>A/1239/2024 - 14/16 - évaluation pluridisciplinaire pour déterminer la possibilité de travailler dans un autre métier. Le Dr B______ ne se prononçait en outre pas sur l’ensemble de la situation du recourant, qui souffre d’arthrose et d’une atteinte au tunnel carpien au poignet. Cela étant, la conclusion du SMR, selon laquelle le recourant pouvait travailler à 100% dans une activité adaptée dès octobre 2022, repose sur un rapport médical de son médecin traitant qui peut être interprété comme cela et elle n’est pas remise en cause par d’autres rapports médicaux. Au vu des limitations retenues par le Dr B______ le 4 octobre 2022, à savoir une activité épargnant les membres inférieurs, sans position debout ni marche prolongées, il apparaît que c’est à juste titre que le Dr D______ a retenu qu’une activité strictement adaptée à ces limitations était exigible du recourant. Il ne présentait manifestement pas des limitations fonctionnelles l’empêchant de travailler à 100% dans une activité adaptée. À teneur des déclarations du recourant à la chambre de céans, son atteinte au tunnel carpien de la main droite ne l’empêche pas d’utiliser sa main pour certaines activités légères sans douleurs. Dans son rapport du 20 novembre 2022, le Dr C______, spécialiste dans ce domaine, a indiqué que le recourant pouvait travailler « a priori », en précisant que sa capacité de travail était probablement de 75% dans l’activité habituelle, mais sans se prononcer sur sa capacité dans une activité adaptée. Selon la jurisprudence (arrêt du Tribunal fédéral 8C_772/2020 du 9 juillet 2021 consid. 3.3), il existe suffisamment de possibilités d'emploi sur un marché équilibré du travail au sens de l'art. 16 LPGA pour des personnes considérées comme monomanuelles et limitées à des activités légères (à savoir, des travaux simples de surveillance ou de contrôle, l'utilisation et la surveillance de machines [semi-]automatiques ou d'unités de production, ainsi que l'activité de surveillant de musée ou de parking). Au vu des éléments qui précédent, la chambre de céans retient comme établi, au degré de la vraisemblance prépondérante, que les atteintes du recourant ne font pas obstacle à une activité strictement adaptée à ses limitations. 4.2 Il faut encore examiner si malgré son âge, le recourant était en mesure de manière réaliste de retrouver un emploi sur un marché équilibré du travail dès le 4 octobre 2022, date à partir de laquelle une capacité de travail entière dans une activité adaptée est retenue. Tel est le cas selon la chambre de céans. En effet, il était alors âgé de 57 ans et donc encore relativement éloigné de l’âge de la retraite. Par ailleurs, ses limitations fonctionnelles n’apparaissent pas contraignantes au point d'exclure son engagement par un employeur potentiel, notamment dans le secteur de la production industrielle légère. Le recourant se dit motivé pour travailler et il n’est pas dénué d’expérience, ni de compétences, puisqu’il a indiqué à la chambre de céans qu’il avait travaillé non</w:t>
      </w:r>
    </w:p>
    <w:p>
      <w:r>
        <w:t>A/1239/2024 - 15/16 - seulement comme nettoyeur, mais principalement dans la restauration, comme garçon de buffet et aide cuisine et notamment en cuisine dans un EMS pendant cinq ans avec un taux d’activité variable, mais atteignant parfois à 100%. Dans son dernier emploi, il a aidé le chef d'équipe, car il était le plus ancien. Il a fini l'école supérieure dans son pays, il aime lire, l’algèbre et apprendre en général. Enfin, le fait d’avoir toujours travaillé dans des activités physiques n’apparaît pas déterminant s’agissant de sa capacité à exercer une activité simple et répétitive. 4.3 En conclusion, il y a lieu d’admettre qu’une activité adaptée à plein temps était exigible de lui au moment déterminant malgré son âge en tenant compte de sa situation globale. 5. Au vu de ce qui précède, la décision querelle doit être confirmée et le recours rejeté. 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w:t>
      </w:r>
    </w:p>
    <w:p>
      <w:r>
        <w:t>A/1239/2024 - 16/16 - PAR CES MOTIFS, LA CHAMBRE DES ASSURANCES SOCIALES : Statuant À la forme :</w:t>
      </w:r>
    </w:p>
    <w:p>
      <w:r>
        <w:rPr>
          <w:b/>
        </w:rPr>
        <w:t>E. 8</w:t>
      </w:r>
    </w:p>
    <w:p>
      <w:r>
        <w:t>octobre 2019 consid. 5.4; 8C_303/2018 du 26 novembre 2018 consid. 5.1).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9C_1035/2009 du 22 juin 2010 consid. 4.1, in SVR 2011 IV n° 6 p. 17). Des causes étrangères à l'invalidité ne peuvent pas être prises en compte pour juger de la présence d'une incapacité de gain selon l'art. 7 al. 2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