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ATAS/468/2012 vom 2. April 2012</w:t>
      </w:r>
    </w:p>
    <w:p>
      <w:r>
        <w:t>GE Cour de justice, 2012-04-02, FR</w:t>
      </w:r>
    </w:p>
    <w:p>
      <w:r>
        <w:rPr>
          <w:b/>
        </w:rPr>
        <w:t xml:space="preserve">Quelle: </w:t>
      </w:r>
      <w:r>
        <w:t>https://mcp.opencaselaw.ch/entscheid/ge_gerichte_ATAS_468_2012</w:t>
      </w:r>
    </w:p>
    <w:p>
      <w:r>
        <w:t>FR: GE_GERICHTE ATAS/468/2012 du 2 avril 2012</w:t>
      </w:r>
    </w:p>
    <w:p>
      <w:r>
        <w:t>IT: GE_GERICHTE ATAS/468/2012 del 2 aprile 2012</w:t>
      </w:r>
    </w:p>
    <w:p>
      <w:pPr>
        <w:pStyle w:val="Heading2"/>
      </w:pPr>
      <w:r>
        <w:t>Regeste</w:t>
      </w:r>
    </w:p>
    <w:p>
      <w:r>
        <w:t>Résumé: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cette compétence prête à discussion, il faut se fonder sur les conclusions de la demande et sur les faits invoqués à l'appui de ces conclusions; le fondement de la demande est alors un critère décisif de distinction. En l'espèce, l'ayant droit fonde ses prétentions sur l'art. 97 CO relatif à la responsabilité contractuelle des défenderesses, faisant valoir que ces dernières se seraient engagées envers lui, conformément au contrat de travail et aux CCC, à verser à la Fondation de prévoyance une bonification de 200% du salaire assuré au moment de sa retraite anticipée, montant qu'il n'aurait pas pu toucher par la faute des défenderesses, du fait que les défenderesses ont procédé à une modification de son contrat de travail nulle en raison d'un vice de forme et de son caractère illicite. Les prétentions de l'intéressé ont donc un fondement juridique autre que le droit de la prévoyance professionnelle, le litige ne relevant donc pas de la compétence de la Cour de céans.</w:t>
      </w:r>
    </w:p>
    <w:p>
      <w:pPr>
        <w:pStyle w:val="Heading2"/>
      </w:pPr>
      <w:r>
        <w:t>Erwägungen</w:t>
      </w:r>
    </w:p>
    <w:p>
      <w:r>
        <w:rPr>
          <w:b/>
        </w:rPr>
        <w:t>E. 1</w:t>
      </w:r>
    </w:p>
    <w:p>
      <w:r>
        <w:t>Il convient d’examiner en premier lieu la compétence de la Cour de céans pour connaître de la présente demande en paiement.</w:t>
      </w:r>
    </w:p>
    <w:p>
      <w:r>
        <w:rPr>
          <w:b/>
        </w:rPr>
        <w:t>E. 2</w:t>
      </w:r>
    </w:p>
    <w:p>
      <w:r>
        <w:t>a) En vertu de l’art. 73 de la loi fédérale sur la prévoyance professionnelle vieillesse, survivants et invalidité, du 25 juin 1982 (LPP ; RS 831.40), chaque canton désigne un tribunal qui connaît, en dernière instance cantonale, des</w:t>
      </w:r>
    </w:p>
    <w:p>
      <w:r>
        <w:t>A/4300/2011 - 7/10 - contestations opposant institutions de prévoyance, employeurs et ayants droit (al. 1). b) A Genève, conformément à l’art. 134 al. 1 let. b de la loi sur l'organisation judiciaire du 26 septembre 2010 (LOJ; RS E 2 05) en vigueur dès le 1er janvier 2011, la juridiction compétente est la Chambre des assurances sociales de la Cour de justice. c)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En application de ces principes, la jurisprudence a considéré que les voies de droit prévues par l'art.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(ATF 118 V 248). La jurisprudence a par ailleurs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l'interprétation de cette clause ne relevait pas des autorités visées par l'art. 73 LPP (ATF 122 III 57). De même, le Tribunal</w:t>
      </w:r>
    </w:p>
    <w:p>
      <w:r>
        <w:t>A/4300/2011 - 8/10 - fédéral des assurances a jugé que les voies de droit de l'art.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fonde pas sur le droit de la prévoyance professionnelle mais sur le statut du personnel visé (ATF 127 V 29). Les voies de l’art. 73 LPP ne sont pas ouvertes s’agissant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 La compétence ratione materiae des autorités visées par l'art.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(ATF 120 V 26). Dans cet arrêt, le Tribunal fédéral des assurances a relevé qu’en matière de prévoyance professionnelle, le non-respect par l'employeur de ses obligations peut fonder une action en dommages-intérêts au sens de 97 CO (BRÜHWILER, Die betriebliche Personalvorsorge in der Schweiz, p. 537, note 123). Sous l'angle de la réparation, le travailleur doit être placé dans la même situation que celle dans laquelle il serait si l'employeur avait correctement exécuté ses obligations. Dès lors, si l’employeur omet de conclure une assurance plus étendue que le minimum légal, en violation de ses devoirs découlant de la convention collective de travail, le travailleur peut exiger, lors de la réalisation du risque et aux conditions de 97 CO, le paiement de dommages-intérêts correspondant au montant des prestations manquantes (BRÜHWILER, ibidem). En pareil cas, la prétention du travailleur est, sans conteste, de nature civile. Il s'agit d'une créance en réparation du dommage à raison de l'inexécution ou de l'exécution imparfaite d'une obligation issue du contrat de travail ou de la convention collective (BRÜHWILER, ibidem); cette prétention, comme telle, ne découle donc pas de la prévoyance professionnelle au sens étroit ou au sens large (ATF 120 V 26 consid. 3b). Dans cet arrêt, le Tribunal fédéral des assurances a encore rappelé qu’il s'était naguère déclaré incompétent pour connaître, dans le cadre de l'art. 73 al. 4 LPP, d'une action en responsabilité d'un affilié à l'encontre de l'institution de prévoyance (ATF 117 V 42 consid. 3d). De même, il a eu l'occasion de juger, dans un litige qui portait principalement sur le montant d'une prestation de libre passage, que les voies de droit prévues par l'art. 73 LPP n'étaient pas ouvertes pour l'exercice de</w:t>
      </w:r>
    </w:p>
    <w:p>
      <w:r>
        <w:t>A/4300/2011 - 9/10 - prétentions en dommages-intérêts ou pour tort moral d'un ayant droit contre son ancien employeur (arrêt du 24 juin 1992 en la cause M., publié dans la SZS 1993 p. 157, plus spécialement consid. 6).</w:t>
      </w:r>
    </w:p>
    <w:p>
      <w:r>
        <w:rPr>
          <w:b/>
        </w:rPr>
        <w:t>E. 3</w:t>
      </w:r>
    </w:p>
    <w:p>
      <w:r>
        <w:t>En l’espèce, le litige oppose un employé à son ancien employeur (soit la défenderesse I), ainsi qu’à la défenderesse II, laquelle conteste toutefois avoir été l’employeur du demandeur. Nonobstant les conclusions subsidiaires tendant au paiement de la somme réclamée à la Fondation de prévoyance, celle-ci n’est pas mise en cause. L’action ouverte par le demandeur tend à faire condamner les défenderesses au versement de 239'558 fr. avec intérêts à 5% l’an dès le 1er février 2011 à titre de dommages et intérêts. Le demandeur fonde ses prétentions sur l’art. 97 CO relatif à la responsabilité contractuelle des défenderesses, faisant valoir que ces dernières se seraient engagées envers lui, conformément au contrat de travail et aux CCC, à verser à la Fondation de prévoyance une bonification de 200% du salaire assuré au moment de sa retraite anticipée, montant qu’il n’aurait pas pu toucher par la faute des défenderesses. Il argue du fait que les défenderesses ont procédé à une modification de son contrat de travail qui serait nulle en raison d’un vice de forme et de son caractère illicite ; subsidiairement, il fait valoir que la modification du contrat de travail doit être invalidée pour vice de consentement et, plus subsidiairement, il invoque la non-validité du congé-modification de son contrat de travail. La Cour de céans ne peut que constater que les prétentions que fait valoir le demandeur portent sur le paiement de dommages et intérêts par les employeurs et que ces prétentions sont fondées sur la prétendue inexécution par ceux-ci d’obligations qui résulteraient du contrat de travail et des CCC applicables entre les parties. Il s’ensuit que la présente contestation a un fondement juridique autre que le droit de la prévoyance professionnelle de sorte que le litige n’est pas de la compétence de la Cour de céans.</w:t>
      </w:r>
    </w:p>
    <w:p>
      <w:r>
        <w:rPr>
          <w:b/>
        </w:rPr>
        <w:t>E. 4</w:t>
      </w:r>
    </w:p>
    <w:p>
      <w:r>
        <w:t>Pour ce motif, la demande doit être déclarée irrecevable.</w:t>
      </w:r>
    </w:p>
    <w:p>
      <w:r>
        <w:t>A/4300/2011 - 10/10 -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