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ATAS/467/2022 vom 23. Mai 2022</w:t>
      </w:r>
    </w:p>
    <w:p>
      <w:r>
        <w:t>GE Cour de justice, 2022-05-23, FR</w:t>
      </w:r>
    </w:p>
    <w:p>
      <w:r>
        <w:rPr>
          <w:b/>
        </w:rPr>
        <w:t xml:space="preserve">Quelle: </w:t>
      </w:r>
      <w:r>
        <w:t>https://mcp.opencaselaw.ch/entscheid/ge_gerichte_ATAS_467_2022</w:t>
      </w:r>
    </w:p>
    <w:p>
      <w:r>
        <w:t>FR: GE_GERICHTE ATAS/467/2022 du 23 mai 2022</w:t>
      </w:r>
    </w:p>
    <w:p>
      <w:r>
        <w:t>IT: GE_GERICHTE ATAS/467/2022 del 23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A/2280/2021 - 3/7 - Sa compétence pour juger du cas d’espèce est ainsi établie.</w:t>
      </w:r>
    </w:p>
    <w:p>
      <w:r>
        <w:rPr>
          <w:b/>
        </w:rPr>
        <w:t>E. 2</w:t>
      </w:r>
    </w:p>
    <w:p>
      <w:r>
        <w:t>À teneur de l'art. 1 al. 1 LACI, les dispositions de la LPGA s'appliquent à l'assurance-chômage,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recours a été formé dans le délai de trente jours dans les forme et contenu prescrits par les art. 60 et 61 let. b LPGA (cf. aussi art. 89B de la loi sur la procédure administrative, du 12 septembre 1985 - LPA - E 5 10). Il est donc recevable.</w:t>
      </w:r>
    </w:p>
    <w:p>
      <w:r>
        <w:rPr>
          <w:b/>
        </w:rPr>
        <w:t>E. 5</w:t>
      </w:r>
    </w:p>
    <w:p>
      <w:r>
        <w:t>Le litige porte sur le point de savoir si le montant de la rétrocession effectuée par la recourante en faveur de son parti politique sur les jetons de présence qu'elle a perçus en contrepartie de son activité de conseillère municipale doit être déduit du gain intermédiaire.</w:t>
      </w:r>
    </w:p>
    <w:p>
      <w:r>
        <w:rPr>
          <w:b/>
        </w:rPr>
        <w:t>E. 6</w:t>
      </w:r>
    </w:p>
    <w:p>
      <w:r>
        <w:t>Selon l'art. 8 al. 1 LACI, l'assuré a droit à l'indemnité de chômage : s'il est sans emploi ou partiellement sans emploi (let. a) ; s'il a subi une perte de travail à prendre en considération (let. b) ; s'il est domicilié en Suisse (let. c) ; s'il a achevé sa scolarité obligatoire, qu'il n'a pas encore atteint l'âge donnant droit à une rente AVS et ne touche pas de rente de vieillesse de l'AVS (let. d) ; s'il remplit les conditions relatives à la période de cotisation ou en est libéré (let. e) ; s'il est apte au placement (let. f) ; et s'il satisfait aux exigences du contrôle (let. g). Ces conditions sont cumulatives (ATF 124 V 215 consid. 2).</w:t>
      </w:r>
    </w:p>
    <w:p>
      <w:r>
        <w:rPr>
          <w:b/>
        </w:rPr>
        <w:t>E. 7</w:t>
      </w:r>
    </w:p>
    <w:p>
      <w:r>
        <w:t>L’indemnité journalière pleine et entière s’élève à 80 % du gain assuré (art. 22 al. 1, 1ère phrase, LACI).</w:t>
      </w:r>
    </w:p>
    <w:p>
      <w:r>
        <w:rPr>
          <w:b/>
        </w:rPr>
        <w:t>E. 7.1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1ère phrase, LACI).</w:t>
      </w:r>
    </w:p>
    <w:p>
      <w:r>
        <w:t>A/2280/2021 - 4/7 - L'art. 5 al. 2 de la loi fédérale sur l'assurance-vieillesse et survivants du 20 décembre 1946 (LAVS - RS 831.10) dispose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let. i du règlement sur l'assurance-vieillesse et survivants du 31 octobre 1947 (RAVS - RS 831.101), le salaire déterminant au sens de l’AVS comprend, dans la mesure où il ne s'agit pas d'un dédommagement pour frais encourus,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(arrêt du Tribunal fédéral non publié 9C_699/2008 du 26 janvier 2009 consid. 3.1). Le salaire pris en considération comme gain assuré se rapproche de la notion de salaire déterminant au sens de l'art. 5 al. 2 LAVS, mais ne se recouvre pas exactement avec celui-ci, comme cela ressort du terme « normalement » (« normalerweise » ; « normalmente ») utilisé à l'art. 23 al. 1 LACI. Certains montants perçus par le salarié, certes soumis à cotisations, n'entrent pas dans la fixation du gain assuré. Il en va ainsi notamment de la rémunération des heures supplémentaires, de l'indemnité de vacances (à certaines conditions : ATF 130 V 492 consid. 4.2.4), des gains accessoires (art. 23 al. 3 LACI) ou des indemnités pour inconvénients liés au travail ou en raison de frais occasionnés par le travail (arrêt du Tribunal fédéral 8C_226/2019 du 15 novembre 2019 consid. 3.2.2 et les références).</w:t>
      </w:r>
    </w:p>
    <w:p>
      <w:r>
        <w:rPr>
          <w:b/>
        </w:rPr>
        <w:t>E. 7.2</w:t>
      </w:r>
    </w:p>
    <w:p>
      <w:r>
        <w:t>Selon l'art. 9 RAVS,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Les contributions aux partis politiques, dont le montant varie d'un parti à l'autre, doivent être acquittées sur une base volontaire et ne sont ainsi absolument pas nécessaires à l'obtention du revenu. Elles ne sont par ailleurs pas reconnues en droit fiscal comme frais professionnels ou frais d'acquisition du revenu. Aussi ne doivent-elles pas être considérées comme des frais généraux déductibles du salaire</w:t>
      </w:r>
    </w:p>
    <w:p>
      <w:r>
        <w:t>A/2280/2021 - 5/7 - déterminant au sens de l'art. 9 RAVS (arrêt du Tribunal fédéral 9C_641/2017 du 16 octobre 2018 consid. 9.1 et les références).</w:t>
      </w:r>
    </w:p>
    <w:p>
      <w:r>
        <w:rPr>
          <w:b/>
        </w:rPr>
        <w:t>E. 8</w:t>
      </w:r>
    </w:p>
    <w:p>
      <w:r>
        <w:t>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(art. 24 al. 1 LACI). Selon l'art. 24 al. 3 LACI, est réputée perte de gain la différence entre le gain assuré et le gain intermédiaire, ce dernier devant être conforme, pour le travail effectué, aux usages professionnels et locaux. Les gains accessoires ne sont pas pris en considération (art. 23 al. 3 LACI). Lorsque l’assuré réalise un revenu inférieur à son indemnité de chômage, il a droit à des indemnités compensatoires pendant le délai-cadre d’indemnisation (art. 41a al. 1 de l'ordonnance sur l'assurance chômage obligatoire et l’indemnité en cas d’insolvabilité du 31 août 1983 [OACI - RS 837.02]).</w:t>
      </w:r>
    </w:p>
    <w:p>
      <w:r>
        <w:rPr>
          <w:b/>
        </w:rPr>
        <w:t>E. 9</w:t>
      </w:r>
    </w:p>
    <w:p>
      <w:r>
        <w:t>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 ATF 125 V 475), le gain assuré comprend exclusivement le revenu tiré de l'activité salariée normale, même si les gains procurés par une activité accessoire sont proportionnellement plus élevés que celui-ci (arrêt du Tribunal fédéral des assurances C.230/03 du 19 octobre 2004 consid. 5.1).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À défaut de quoi, si ce gain venait régulièrement à se rapprocher ou dépasser le gain principal, l'activité ne pourrait plus être accessoire et le gain ne le serait pas davantage (ATF 123 V 230 consid. 3c). Dans l'arrêt précité du 19 octobre 2004 (C.230/03), dans le cas d’un assuré qui a exercé pendant son chômage une activité de collaborateur au service extérieur à raison de quinze heures par semaine lui rapportant un revenu mensuel variable entre environ CHF 350.- et CHF 2'800.-, le Tribunal fédéral des assurances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 (consid. 5.1).</w:t>
      </w:r>
    </w:p>
    <w:p>
      <w:r>
        <w:t>A/2280/2021 - 6/7 -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un délai-cadre d'indemnisation a été ouvert en faveur de la recourante du 1er novembre 2019 au 31 octobre 2021. Élue au Conseil municipal de la Ville du Grand-Saconnex, elle a reçu des jetons de présence dès juin 2020. Selon les formulaires « indications de la personne assurée » au dossier, elle n'avait aucune activité principale. Par conséquent, l'activité de conseillère municipale ne peut pas être considérée comme une activité accessoire par rapport à une activité principale. En outre, les revenus qu'elle a retirés de cette activité (en moyenne : CHF 440.- par mois [CHF 2'200.- / 4 mois, soit juin, septembre, octobre et novembre 2020]) ne peuvent pas davantage être qualifiés d'accessoires, car ils sont d'une importance comparable à ceux évalués par le Tribunal fédéral dans l'arrêt C.230/03 cité ci-dessus (dans ce sens : ATAS/616/2013 du 19 juin 2013 consid. 6). C'est donc à juste titre que l'intimée les a qualifiés de gain intermédiaire au sens de l'art. 24 al. 1 LACI, ce que la recourante ne conteste pas au demeurant. Cela étant dit, contrairement à ce que fait valoir la recourante, conformément à la jurisprudence fédérale (consid. 7.2 ci-dessus), il n'y a pas lieu de tenir compte, au titre de frais généraux déductibles au sens de l'art. 9 RAVS, la contribution de CHF 726.- qu'elle a reversée à son parti politique. Dans l'arrêt 9C_641/2017 précité, la Haute Cour souligne en effet que les contributions aux partis politiques doivent être payées volontairement et ne sont par conséquent pas absolument nécessaires à l'obtention du revenu. En d'autres termes, quand bien même le parti politique en question a demandé à la recourante de lui rétrocéder 33 % de ses jetons de présence perçus en 2020 au regard des statuts dudit parti, la recourante, pour exercer son mandat, n'a pas l'obligation de verser à son parti cette contribution. Partant, c'est à bon droit que l'intimée a refusé de déduire le montant de CHF 726.- du gain intermédiaire.</w:t>
      </w:r>
    </w:p>
    <w:p>
      <w:r>
        <w:rPr>
          <w:b/>
        </w:rPr>
        <w:t>E. 12</w:t>
      </w:r>
    </w:p>
    <w:p>
      <w:r>
        <w:t>Au vu de ce qui précède, le recours ne peut être que rejeté. Pour le surplus, la procédure est gratuite (art. 61 let. fbis a contrario LPGA). * * * * * *</w:t>
      </w:r>
    </w:p>
    <w:p>
      <w:r>
        <w:t>A/2280/2021 - 7/7 -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