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ATAS/467/2020 vom 4. Juni 2020</w:t>
      </w:r>
    </w:p>
    <w:p>
      <w:r>
        <w:t>GE Cour de justice, 2020-06-04, FR</w:t>
      </w:r>
    </w:p>
    <w:p>
      <w:r>
        <w:rPr>
          <w:b/>
        </w:rPr>
        <w:t xml:space="preserve">Quelle: </w:t>
      </w:r>
      <w:r>
        <w:t>https://mcp.opencaselaw.ch/entscheid/ge_gerichte_ATAS_467_2020</w:t>
      </w:r>
    </w:p>
    <w:p>
      <w:r>
        <w:t>FR: GE_GERICHTE ATAS/467/2020 du 4 juin 2020</w:t>
      </w:r>
    </w:p>
    <w:p>
      <w:r>
        <w:t>IT: GE_GERICHTE ATAS/467/2020 del 4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prévus par la loi, le recours est recevable (art. 56 LPGA; art. 62 al. 1 de la loi sur la procédure administrative du 12 septembre 1985 [LPA - E 5 10]).</w:t>
      </w:r>
    </w:p>
    <w:p>
      <w:r>
        <w:rPr>
          <w:b/>
        </w:rPr>
        <w:t>E. 4</w:t>
      </w:r>
    </w:p>
    <w:p>
      <w:r>
        <w:t>L’objet du litige se limite à la question de savoir à partir de quand le droit à une rente entière doit être ouvert et si un effet rétroactif au 12 février 2016 est envisageable.</w:t>
      </w:r>
    </w:p>
    <w:p>
      <w:r>
        <w:rPr>
          <w:b/>
        </w:rPr>
        <w:t>E. 5</w:t>
      </w:r>
    </w:p>
    <w:p>
      <w:r>
        <w:t>Conformément aux art. 17 LPGA et 87 du règlement du 17 janvier 1961 sur l’assurance-invalidité du 17 janvier 1961 (RAI - RS 831.201), si le bénéficiaire de</w:t>
      </w:r>
    </w:p>
    <w:p>
      <w:r>
        <w:t>A/2026/2019 - 4/5 - la rente subit une modification notable, la rente est révisée pour l’avenir, d’office ou sur demande. La révision a lieu d’office lorsqu’un terme a été fixé au moment de l’octroi de la rente, ou lorsque les organes de l’assurance ont connaissance de faits qui peuvent entraîner une modification importante du taux d’invalidité.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p. 417). Cette disposition ne s'applique pas tant qu'un droit à la rente n'est pas ouvert au regard des conditions de l'art. 28 al. 1 let. b LAI (cf. arrêt I 179/01 du 10 décembre 2001 consid. 3b; Meyer/Reichmuth, Bundesgesetz über die Invalidenversicherung [IVG], 3e éd. 2014, n. 35 ad art. 28). Quant à l'art. 88bis al. 1 let. a RAI, il règle le moment à partir duquel la modification en cause prend effet si la révision est demandée par l'assuré. L'augmentation prend effet au plus tôt dès le mois où la demande est présentée (arrêt 9C_302/2015 du 18 septembre 2015 consid. 5.1).</w:t>
      </w:r>
    </w:p>
    <w:p>
      <w:r>
        <w:rPr>
          <w:b/>
        </w:rPr>
        <w:t>E. 6</w:t>
      </w:r>
    </w:p>
    <w:p>
      <w:r>
        <w:t>En l’espèce, force est de constater, à l’étude du dossier du recourant, qu’aucun document n’y a été versé entre l’octroi de la demi-rente, en 2014, et la demande de révision accompagnée du rapport du Dr B______, en novembre 2018. Les pièces produites par le recourant lui-même, notamment le courrier émanant des HUG, confirment d’ailleurs que ses médecins lui ont conseillé à plusieurs reprises d’informer l’OAI, ce qu’il n’a apparemment pas fait. Dans ces conditions, on voit mal comment l’OAI aurait pu constater l’aggravation de son état. Dans la mesure où l'assuré a déposé sa demande de révision en novembre 2018, l’augmentation de rente ne pouvait donc effectivement prendre effet au plus tôt que ce mois-là. Eu égard aux considérations qui précèdent, le recours, manifestement infondé, est rejeté.</w:t>
      </w:r>
    </w:p>
    <w:p>
      <w:r>
        <w:t>A/2026/2019 - 5/5 -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