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ATAS/466/2023 vom 19. Juni 2023</w:t>
      </w:r>
    </w:p>
    <w:p>
      <w:r>
        <w:t>GE Cour de justice, 2023-06-19, FR</w:t>
      </w:r>
    </w:p>
    <w:p>
      <w:r>
        <w:rPr>
          <w:b/>
        </w:rPr>
        <w:t xml:space="preserve">Quelle: </w:t>
      </w:r>
      <w:r>
        <w:t>https://mcp.opencaselaw.ch/entscheid/ge_gerichte_ATAS_466_2023</w:t>
      </w:r>
    </w:p>
    <w:p>
      <w:r>
        <w:t>FR: GE_GERICHTE ATAS/466/2023 du 19 juin 2023</w:t>
      </w:r>
    </w:p>
    <w:p>
      <w:r>
        <w:t>IT: GE_GERICHTE ATAS/466/2023 del 19 giugno 2023</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Le 1er janvier 2022, sont entrées en vigueur les modifications de la LAI du 19 juin 2020 (développement continu de l’AI ; RO 2021 705). En cas de changement de règles de droit, la législation applicable est, en principe, celle qui était en vigueur lors de la réalisation de l'état de fait qui doit être apprécié juridiquement ou qui a des conséquences juridiques, sous réserve de dispositions particulières de droit transitoire (ATF 136 V 24 consid. 4.3 et la référence). En l’occurrence, le droit éventuel à une rente d’invalidité naitrait antérieurement au 1er janvier 2022, de sorte que les dispositions légales applicables seront citées dans leur ancienne teneur.</w:t>
      </w:r>
    </w:p>
    <w:p>
      <w:r>
        <w:rPr>
          <w:b/>
        </w:rPr>
        <w:t>E. 1.3</w:t>
      </w:r>
    </w:p>
    <w:p>
      <w:r>
        <w:t>Interjeté en temps utile, le recours est recevable (art. 60 LPGA).</w:t>
      </w:r>
    </w:p>
    <w:p>
      <w:r>
        <w:t>A/1067/2023 - 5/12 -</w:t>
      </w:r>
    </w:p>
    <w:p>
      <w:r>
        <w:rPr>
          <w:b/>
        </w:rPr>
        <w:t>E. 2</w:t>
      </w:r>
    </w:p>
    <w:p>
      <w:r>
        <w:t>Le litige porte sur le droit de la recourante à une rente d’invalidité, singulièrement sur le taux de ses empêchements dans le ménage.</w:t>
      </w:r>
    </w:p>
    <w:p>
      <w:r>
        <w:rPr>
          <w:b/>
        </w:rPr>
        <w:t>E. 3.1</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3.2</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w:t>
      </w:r>
    </w:p>
    <w:p>
      <w:r>
        <w:rPr>
          <w:b/>
        </w:rPr>
        <w:t>E. 4.1</w:t>
      </w:r>
    </w:p>
    <w:p>
      <w:r>
        <w:t>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Lorsque l'assuré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(ATF 144 I 28 consid. 2.3 ; ATF 137 V 334 consid. 3.2 ; ATF 117 V 194 consid. 3b ; Pratique VSI 1997 p. 301 ss consid. 2b ; arrêt du Tribunal fédéral 9C_722/2016 du 17 février 2017 consid. 2.2). Cette évaluation tiendra également compte de la volonté hypothétique de l'assurée, qui comme fait interne ne peut être l'objet d'une administration directe de la preuve et doit être déduite d'indices extérieurs (arrêt du Tribunal fédéral 9C_55/2015 du 11</w:t>
      </w:r>
    </w:p>
    <w:p>
      <w:r>
        <w:t>A/1067/2023 - 6/12 - mai 2015 consid. 2.3 et l'arrêt cité) établis au degré de la vraisemblance prépondérante tel que requis en droit des assurances sociales (ATF 126 V 353 consid. 5b).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144 I 28 consid. 2.3 et les références ; ATF 141 V 15 consid. 3.1 ; ATF 137 V 334 consid. 3.2 ; ATF 125 V 146 consid. 2c ainsi que les références).</w:t>
      </w:r>
    </w:p>
    <w:p>
      <w:r>
        <w:rPr>
          <w:b/>
        </w:rPr>
        <w:t>E. 4.2</w:t>
      </w:r>
    </w:p>
    <w:p>
      <w:r>
        <w:t>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L'évaluation de l'invalidité des assurés pour la part qu'ils consacrent à leurs travaux habituels nécessite l'établissement d'une liste des activités que la personne assurée exerçait avant la survenance de son invalidité, ou qu'elle exercerait sans elle, qu'il y a lieu de comparer ensuite à l'ensemble des tâches que l'on peut encore raisonnablement exiger d'elle, malgré son invalidité, après d'éventuelles mesures de réadaptation. Pour ce faire, l'administration procède à une enquête sur place et fixe l'ampleur de la limitation dans chaque domaine entrant en considération. En vertu du principe général de l'obligation de diminuer le dommage, l'assuré qui n'accomplit plus que difficilement ou avec un investissement temporel beaucoup plus important certains travaux ménagers en raison de son handicap doit en premier lieu organiser son travail et demander l'aide de ses proches dans une mesure convenable. La jurisprudence pose comme critère que l'aide ne saurait constituer une charge excessive du seul fait qu'elle va au-delà du soutien que l'on peut attendre de manière habituelle sans atteinte à la santé. En ce sens, la reconnaissance d'une atteinte à la santé invalidante n'entre en ligne de compte que dans la mesure où les tâches qui ne peuvent plus être accomplies le sont par des tiers contre rémunération ou par des proches et qu'elles constituent à l'égard de ces derniers un manque à gagner ou une charge disproportionnée (ATF 133 V 504 consid. 4.2 et les références; arrêt du Tribunal fédéral 9C_191/2021 du 25 novembre 2021 consid. 6.2.2 et les références).</w:t>
      </w:r>
    </w:p>
    <w:p>
      <w:r>
        <w:rPr>
          <w:b/>
        </w:rPr>
        <w:t>E. 4.3</w:t>
      </w:r>
    </w:p>
    <w:p>
      <w:r>
        <w:t>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w:t>
      </w:r>
    </w:p>
    <w:p>
      <w:r>
        <w:t>A/1067/2023 - 7/12 -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140 V 543 consid. 3.2.1 et ATF 129 V 67 consid. 2.3.2 publié dans VSI 2003 p. 221 ; arrêt du Tribunal fédéral 9C_625/2017 du 26 mars 2018 consid. 6.2 et arrêt du Tribunal fédéral des assurances I 733/06 du 16 juillet 2007).</w:t>
      </w:r>
    </w:p>
    <w:p>
      <w:r>
        <w:rPr>
          <w:b/>
        </w:rPr>
        <w:t>E. 4.4</w:t>
      </w:r>
    </w:p>
    <w:p>
      <w:r>
        <w:t>Il existe dans l'assurance-invalidité - ainsi que dans les autres assurances sociales - un principe général selon lequel l'assuré qui demande des prestations doit d'abord entreprendre tout ce que l'on peut raisonnablement attendre de lui pour atténuer les conséquences de son invalidité (ATF 141 V 642 consid. 4.3.2 et les références ; 140 V 267 consid. 5.2.1 et les références). Dans le cas d'une personne rencontrant des difficultés à accomplir ses travaux ménagers à cause de son handicap, le principe évoqué se concrétise notamment par l'obligation d'organiser son travail et de solliciter l'aide des membres de la famille dans une mesure convenable. Un empêchement dû à l'invalidité ne peut être admis chez les personnes qui consacrent leur temps aux activités ménagères que dans la mesure où les tâches qui ne peuvent plus être accomplies sont exécutées par des tiers contre rémunération ou par des proches qui encourent de ce fait une perte de gain démontrée ou subissent une charge excessive. L'aide apportée par les membres de la famille à prendre en considération dans l'évaluation de l'invalidité de l'assuré au foyer va plus loin que celle à laquelle on peut s'attendre sans atteinte à la santé. Il s'agit en particulier de se demander comment se comporterait une famille raisonnable, si aucune prestation d'assurance ne devait être octroyée (ATF 133 V 504 consid. 4.2 et les références). La jurisprudence ne pose pas de grandeur limite au-delà de laquelle l'aide des membres de la famille ne serait plus possible. L'aide exigible de tiers ne doit cependant pas devenir excessive ou disproportionnée (ATF 141 V 642 consid. 4.3.2 ; arrêt du Tribunal fédéral 9C_248/2022 du 25 avril 2023 consid. 5.3.1 et les références). Toutefois, la jurisprudence ne répercute pas sur un membre de la famille l'accomplissement de certaines activités ménagères, avec la conséquence qu'il faudrait se demander pour chaque empêchement si cette personne entre effectivement en ligne de compte pour l'exécuter en remplacement (ATF 141 V 642 consid. 4.3.2 ; 133 V 504 consid. 4.2). Au contraire, la possibilité pour la personne assurée d'obtenir concrètement de l'aide de la part d'un tiers n'est pas décisive dans le cadre de l'évaluation de son obligation de réduire le dommage. Ce qui est déterminant, c'est le point de savoir comment se comporterait une cellule</w:t>
      </w:r>
    </w:p>
    <w:p>
      <w:r>
        <w:t>A/1067/2023 - 8/12 - familiale raisonnable, soumise à la même réalité sociale, si elle ne pouvait pas s'attendre à recevoir des prestations d'assurance. Dans le cadre de son obligation de réduire le dommage (art. 7 al. 1 LAI), la personne qui requiert des prestations de l'assurance-invalidité doit par conséquent se laisser opposer le fait que des tiers - par exemple son conjoint [art. 159 al. 2 et 3 du Code civil suisse du 10 décembre 1907 (CC - RS 210)] ou ses enfants (art. 272 CC) - sont censés remplir les devoirs qui leur incombent en vertu du droit de la famille (arrêt du Tribunal fédéral 9C_248/2022 du 25 avril 2023 consid. 5.3.2 et les références). Le Tribunal fédéral a récemment confirmé qu'il n'y avait pas de motif de revenir sur le principe de l'obligation de diminuer le dommage tel que dégagé par la jurisprudence (arrêt du Tribunal fédéral 9C_248/2022 du 25 avril 2023 consid. 5.3 et les références). Dans sa jurisprudence, la chambre de céans a retenu une exigibilité de 32.5% pour un conjoint économiquement inactif entièrement valide et une fille majeure étudiante (ATAS/518/2021 du 27 mai 2021 consid. 16) ; 29.45 % pour un mari entièrement invalide et un fils majeur économiquement actif (ATAS/748/2020 du</w:t>
      </w:r>
    </w:p>
    <w:p>
      <w:r>
        <w:rPr>
          <w:b/>
        </w:rPr>
        <w:t>E. 8</w:t>
      </w:r>
    </w:p>
    <w:p>
      <w:r>
        <w:t>Au vu de ce qui précède, le recours ne peut qu’être rejeté. Pour le surplus, il y a lieu de condamner la recourante au paiement d'un émolument de CHF 200.- (art. 69 al. 1 bis LAI).</w:t>
      </w:r>
    </w:p>
    <w:p>
      <w:r>
        <w:t>A/1067/2023 - 12/12 -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