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ATAS/466/2022 vom 13. Mai 2022</w:t>
      </w:r>
    </w:p>
    <w:p>
      <w:r>
        <w:t>GE Cour de justice, 2022-05-13, FR</w:t>
      </w:r>
    </w:p>
    <w:p>
      <w:r>
        <w:rPr>
          <w:b/>
        </w:rPr>
        <w:t xml:space="preserve">Quelle: </w:t>
      </w:r>
      <w:r>
        <w:t>https://mcp.opencaselaw.ch/entscheid/ge_gerichte_ATAS_466_2022</w:t>
      </w:r>
    </w:p>
    <w:p>
      <w:r>
        <w:t>FR: GE_GERICHTE ATAS/466/2022 du 13 mai 2022</w:t>
      </w:r>
    </w:p>
    <w:p>
      <w:r>
        <w:t>IT: GE_GERICHTE ATAS/466/2022 del 13 maggio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1er janvier 2021 est entrée en vigueur la modification du 21 juin 2019 de la LPGA. Toutefois, dans la mesure où le recours était, au 1er janvier 2021, pendant devant la chambre de céans, il reste soumis à l'ancien droit (cf. art. 82a LPGA ; RO 2020 5137 ; FF 2018 1597 ; erratum de la CdR de l’Ass. féd. du 19 mai 2021, publié le 18 juin 2021 in RO 2021 358).</w:t>
      </w:r>
    </w:p>
    <w:p>
      <w:r>
        <w:rPr>
          <w:b/>
        </w:rPr>
        <w:t>E. 4</w:t>
      </w:r>
    </w:p>
    <w:p>
      <w:r>
        <w:t>Le 1er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5</w:t>
      </w:r>
    </w:p>
    <w:p>
      <w:r>
        <w:t>Le délai de recours est de trente jours (art. 56 LPGA; art. 62 al. 1 de la de loi sur la procédure administrative du 12 septembre 1985 [LPA - E 5 10]). Interjeté dans la forme et le délai prévus par la loi, le recours est recevable.</w:t>
      </w:r>
    </w:p>
    <w:p>
      <w:r>
        <w:t>A/3048/2019 - 7/14 -</w:t>
      </w:r>
    </w:p>
    <w:p>
      <w:r>
        <w:rPr>
          <w:b/>
        </w:rPr>
        <w:t>E. 6</w:t>
      </w:r>
    </w:p>
    <w:p>
      <w:r>
        <w:t>Le litige porte sur le droit du recourant à une rente d’invalidité, singulièrement sur l’évaluation de son degré d’invalidité compte tenu de ses atteintes à la santé découlant de l’accident du 2 juin 2014, sur la détermination des revenus avec et sans invalidité ainsi que sur le taux de l’IPAI.</w:t>
      </w:r>
    </w:p>
    <w:p>
      <w:r>
        <w:rPr>
          <w:b/>
        </w:rPr>
        <w:t>E. 7</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w:t>
      </w:r>
    </w:p>
    <w:p>
      <w:r>
        <w:t>A/3048/2019 - 8/14 - des complications les plus singulières et les plus graves qui ne se produisent habituellement pas selon l'expérience médicale (ATF 118 V 286 consid. 3a et ATF 117 V 359 consid. 5d/bb; arrêt du Tribunal fédéral des assurances U 351/04 du 14 février 2006 consid. 3.2).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117 V 369 consid. 4b; ATF 115 V 133 consid. 6; ATF 115 V 403 consid. 5). En présence de troubles psychiques apparus après un accident, on examine les critères de la causalité adéquate en excluant les aspects psychiques (ATF 115 V 133 consid. 6c/aa; ATF 115 V 403 consid. 5c/aa), tandis qu'en présence d'un traumatisme de type « coup du lapin » à la colonne cervicale (ATF 117 V 359 consid. 6a), d'un traumatisme analogue à la colonne cervicale (SVR 1995 UV n° 23 consid. 2) ou d'un traumatisme cranio-cérébral (ATF 117 V 369 consid. 4b), on peut renoncer à distinguer les éléments physiques des éléments psychiques (sur l'ensemble de la question, ATF 127 V 102 consid. 5b/bb et SVR 2007 UV n° 8 p. 27 consid. 2 et les références). En application de la pratique sur les conséquences psychiques des accidents (ATF 115 V 133),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w:t>
      </w:r>
    </w:p>
    <w:p>
      <w:r>
        <w:rPr>
          <w:b/>
        </w:rPr>
        <w:t>E. 8</w:t>
      </w:r>
    </w:p>
    <w:p>
      <w:r>
        <w:t>Aux termes de l'art. 10 al. 1 LAA, l'assuré a droit au traitement médical approprié des lésions résultant de l'accident. S'il est totalement ou partiellement incapable de travailler (art. 6 LPGA) à la suite de l'accident, il a droit à une indemnité journalière. Le droit à l'indemnité prend naissance le troisième jour qui suit celui de l'accident et s'éteint dès que l'assuré a recouvré sa pleine capacité de travail, dès qu'une rente est versée ou dès que l'assuré décède (art. 16 al. 2 LAA). Enfin, si l'assuré est invalide (art. 8 LPGA) à 10% au moins par suite de l'accident, il a droit à une rente d'invalidité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1ère phrase, LAA). Cependant, le droit au traitement médical et aux indemnités journalières cesse dès la naissance du droit à la rente au sens de l'art. 19 al. 1 LAA (art. 19 al. 1, 2ème phrase, LAA). Il cesse également s'il n'y a plus lieu d'attendre de la continuation du traitement médical une sensible amélioration de l'état de santé de l'assuré et qu'aucune mesure de réadaptation de l'assurance-invalidité n'entre en</w:t>
      </w:r>
    </w:p>
    <w:p>
      <w:r>
        <w:t>A/3048/2019 - 9/14 - considération, mais qu'aucune rente n'est allouée parce que l'assuré présente un taux d'invalidité inférieur au seuil de 10% prévu par l'art. 18 al. 1 LAA (cf. ATF 134 V 109 consid. 4.1; ATF 133 V 57 consid. 6.6.2). Autrement dit, l'assureur- accidents est tenu d'octroyer une indemnité journalière et de prendre en charge le traitement médical aussi longtemps qu'il y a lieu d'attendre une amélioration notable de l'état de santé. Si une telle amélioration ne peut plus être envisagée, il doit clore le cas (arrêt du Tribunal fédéral 8C_589/2018 du 4 juillet 2019 consid. 4.2).</w:t>
      </w:r>
    </w:p>
    <w:p>
      <w:r>
        <w:rPr>
          <w:b/>
        </w:rPr>
        <w:t>E. 9</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ATF 128 V 29 consid. 1 p. 30; voir également SVR 2010 IV n° 11 p. 35, 9C_236/2009, consid. 3.1). De jurisprudence constante, pour procéder à la comparaison des revenus, il convient de se placer au moment de la naissance du droit à la rente en tenant compte des modifications éventuelles survenues jusqu'au moment de la décision de l'assureur social qui ont des conséquences sur le droit à la rente (ATF 129 V 222 consid. 4.1 p. 223; ATF 128 V 174). En vertu de l'art. 19 al. 1 LAA, le droit à la rente prend naissance lorsqu'il n'y a plus lieu d'attendre de la continuation du traitement médical une sensible amélioration de l'état de l'assuré.</w:t>
      </w:r>
    </w:p>
    <w:p>
      <w:r>
        <w:rPr>
          <w:b/>
        </w:rPr>
        <w:t>E. 10</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w:t>
      </w:r>
    </w:p>
    <w:p>
      <w:r>
        <w:t>A/3048/2019 - 10/14 -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w:t>
      </w:r>
    </w:p>
    <w:p>
      <w:r>
        <w:rPr>
          <w:b/>
        </w:rPr>
        <w:t>E. 11</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12</w:t>
      </w:r>
    </w:p>
    <w:p>
      <w:r>
        <w:t>En l’espèce, suite à une chute d’une hauteur de 5 mètres (et non de 4 mètres comme le soutient l’intimée) telle que rapportée par les médecins des HUG dès son hospitalisation, le recourant a subi une fracture du pilon tibial droit et du péroné droit, une fracture complexe du calcanéum gauche et des fractures non déplacées de l’arc antérieur des 8ème et 9ème côtes à gauche. L’évolution s’est avérée compliquée, avec pas moins de huit interventions, une infection, des thromboses veineuses profondes bilatérales et une arthrose post-traumatique. Le recourant a dû se déplacer en chaise roulante durant plusieurs années. Du point de vue médical, il n’est pas contesté que le recourant ne peut plus exercer son activité</w:t>
      </w:r>
    </w:p>
    <w:p>
      <w:r>
        <w:t>A/3048/2019 - 11/14 - antérieure au regard des séquelles physiques suite à l’accident. Une fois l’état de santé stabilisé, en 2018, tous les médecins s’accordent à dire que seule une activité adaptée aux limitations fonctionnelles peut être exercée, à avoir une activité évitant toutes les positions contraignantes pour les chevilles, notamment la montée et la descente de manière répétitive des escaliers et/ou échelle, la marche prolongée surtout sur un terrain irrégulier et le port de charges entre 15 et 17.5 kg. Une activité sédentaire est recommandée, étant précisé que le recourant souffre de douleurs chroniques et de troubles sensitifs aux membres inférieurs, ainsi que les médecins de la CRR l’ont attesté, avec un traitement antalgique lourd. Selon l’intimée, une telle activité est exigible à 100%, sans diminution de rendement selon son médecin conseil, ce que le recourant conteste. A cet égard, force est de constater que le médecin conseil a, dans un premier temps, évoqué une diminution de rendement de 20% dans une activité adaptée, étant donné la nécessité de faire souvent des pauses. Questionné à nouveau par l’intimée, le médecin conseil a ensuite affirmé que l’activité adaptée était exigible à 100%, sans retenir une diminution de rendement. Il n’a toutefois pas motivé ni expliqué sa volte-face. Quant aux médecins qui ont suivi le recourant, ils ne se sont pas prononcés sur une éventuelle diminution de rendement. Dans un deuxième grief, le recourant fait valoir que l’intimée n’a pas investigué le volet psychique, malgré les certificats médicaux établis par son psychiatre. Il y a lieu de relever que le Dr G______ indiquait dans son rapport médical du 29 mars 2019 suivre le recourant depuis janvier 2016, dans un contexte de stress post-traumatique et d’épisodes dépressifs sévères. Dans son avis du 11 avril 2017, le médecin SMR fait notamment référence à un rapport médical du 7 décembre 2016 du psychiatre qui indique que son patient présente un trouble dépressif récurrent, épisode actuel sévère, sans symptôme psychotique. Selon le Dr G______, les limitations fonctionnelles psychiatriques constatées sont en rapport avec l’accident et se manifestent par une tristesse, des idées noires et un manque d’énergie avec découragement. La capacité de travail était de 0 %. Force est de constater que l’intimée n’a procédé à aucune investigation sur le plan psychiatrique. Dans sa décision du 28 novembre 2018, elle a indiqué que si des troubles psychiques devaient aussi réduire la capacité de gain, elle ne pourrait pas en répondre dans la mesure où de tels troubles n’apparaissent pas en relation de causalité naturelle et adéquate avec l’accident assuré, ce qui ne constitue pas une motivation suffisante. Dans la décision sur opposition querellée, elle ne s’est pas prononcée sur ce point, alléguant que le recourant ne l’a pas contesté. Le recourant soutient en revanche qu’il avait contesté la décision dans son ensemble, en faisant référence à son état de santé général, ce que l’on peut admettre au regard des griefs formulés dans son opposition.</w:t>
      </w:r>
    </w:p>
    <w:p>
      <w:r>
        <w:t>A/3048/2019 - 12/14 - Dans le cadre de la procédure de recours, l’intimée a produit une appréciation psychiatrique et s’est prononcée de manière détaillée sur la causalité, ce qui est discutable. La chambre de céans relève en effet que dans ses conclusions, le psychiatre est d’avis qu’en présence de doutes, une évaluation d’expert est à recommander. Quoi qu’il en soit, au vu de l’instruction lacunaire, la chambre de céans n’est pas en mesure, en l’état actuel du dossier, de tirer des conclusions définitives sur la capacité de travail du recourant dans une activité adaptée résultant des conséquences de l’accident. Il convient en effet de tenir compte d’une éventuelle diminution de rendement due notamment à la fatigabilité en raison des douleurs chroniques et, possiblement, aux séquelles psychiques, ce qui reste à déterminer. Au vu de ce qui précède, la cause sera renvoyée à l’intimée pour instruction complémentaire sous forme d’une expertise psychiatrique et somatique (rhumatologique et/ou orthopédique).</w:t>
      </w:r>
    </w:p>
    <w:p>
      <w:r>
        <w:rPr>
          <w:b/>
        </w:rPr>
        <w:t>E. 12.1</w:t>
      </w:r>
    </w:p>
    <w:p>
      <w:r>
        <w:t>Le recourant conteste le revenu sans invalidité retenu par l’intimée, soit CHF 55'001.-. pour l’année 2018. Il reproche à l’intimée de n’avoir pas clarifié les données communiquées par l’employeur, qui ont varié sensiblement, et relève que dans sa première décision du 3 octobre 2016, l’OAI a pris en compte le salaire de 2011, qu’il a réactualisé à 2015, soit CHF 64'416.-. La chambre de céans considère que le montant retenu par l’intimée est sous- estimé. En effet, il ressort du rassemblement des comptes individuels du recourant qu’il a perçu un salaire de CHF 62'824.- en 2011, CHF 58'783.- en 2012, CHF 53'185.- en 2013, soit une moyenne de CHF 58'264.- sur les trois dernières années avant l’accident. En outre, les fiches de salaire de 2013 et 2014 mentionnent un salaire horaire moyen de CHF 27.43 et l’on constate des différences entre les heures de travail payées CHF 22.85 et les heures du temps de déplacement payées CHF 27.43. On ne saurait par conséquent se fonder sur les déclarations de l’employeur, dès lors que le revenu varie en fonction des heures travaillées et des heures de déplacement. De plus, il n’est pas exclu que le recourant aurait pu réaliser un gain identique à celui réalisé en 2011 chez le même employeur, s’il n’était pas devenu invalide. A défaut de données plus précises de l'employeur, la chambre de céans considère qu’il est plus juste de prendre en compte la moyenne des revenus des trois dernières années avant l’accident, à savoir CHF 58'264.-, et de réactualiser ce revenu jusqu’au moment de l’ouverture du droit à la rente en 2018, année où l’état de santé du recourant doit être considéré comme stabilisé.</w:t>
      </w:r>
    </w:p>
    <w:p>
      <w:r>
        <w:rPr>
          <w:b/>
        </w:rPr>
        <w:t>E. 13</w:t>
      </w:r>
    </w:p>
    <w:p>
      <w:r>
        <w:t>Le recourant conteste encore le degré de l’atteinte à l’intégrité. La chambre de céans ne tranchera pas ce point, dès lors qu’il appartiendra aux experts de réexaminer le degré de l’atteinte à l’intégrité.</w:t>
      </w:r>
    </w:p>
    <w:p>
      <w:r>
        <w:rPr>
          <w:b/>
        </w:rPr>
        <w:t>E. 14</w:t>
      </w:r>
    </w:p>
    <w:p>
      <w:r>
        <w:t>Au vu de ce qui précède, la cause est renvoyée à l’intimée pour instruction complémentaire et mise en œuvre d’une expertise psychiatrique, rhumatologique</w:t>
      </w:r>
    </w:p>
    <w:p>
      <w:r>
        <w:t>A/3048/2019 - 13/14 - et/ou orthopédique. Les experts se prononceront notamment sur le lien de causalité, les limitations fonctionnelles, la capacité de travail dans une activité adaptée, l’éventuelle diminution de rendement et sur le taux de l’IPAI.</w:t>
      </w:r>
    </w:p>
    <w:p>
      <w:r>
        <w:rPr>
          <w:b/>
        </w:rPr>
        <w:t>E. 15</w:t>
      </w:r>
    </w:p>
    <w:p>
      <w:r>
        <w:t>Par conséquent, le recours sera admis et la décision querellée annulée. Le recourant obtenant gain de cause, une indemnité de CHF 4'000.- lui sera accordée à titre de participation à ses frais et dépens (art. 61 let. g LPGA; art. 6 du règlement sur les frais, émoluments et indemnités en matière administrative du 30 juillet 1986 [RFPA - E 5 10.03]). Pour le surplus, la procédure est gratuite (art. 61 let. a LPGA).</w:t>
      </w:r>
    </w:p>
    <w:p>
      <w:r>
        <w:t>A/3048/2019 - 14/14 -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