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ATAS/466/2012 vom 2. April 2012</w:t>
      </w:r>
    </w:p>
    <w:p>
      <w:r>
        <w:t>GE Cour de justice, 2012-04-02, FR</w:t>
      </w:r>
    </w:p>
    <w:p>
      <w:r>
        <w:rPr>
          <w:b/>
        </w:rPr>
        <w:t xml:space="preserve">Quelle: </w:t>
      </w:r>
      <w:r>
        <w:t>https://mcp.opencaselaw.ch/entscheid/ge_gerichte_ATAS_466_2012</w:t>
      </w:r>
    </w:p>
    <w:p>
      <w:r>
        <w:t>FR: GE_GERICHTE ATAS/466/2012 du 2 avril 2012</w:t>
      </w:r>
    </w:p>
    <w:p>
      <w:r>
        <w:t>IT: GE_GERICHTE ATAS/466/2012 del 2 aprile 2012</w:t>
      </w:r>
    </w:p>
    <w:p>
      <w:pPr>
        <w:pStyle w:val="Heading2"/>
      </w:pPr>
      <w:r>
        <w:t>Regeste</w:t>
      </w:r>
    </w:p>
    <w:p>
      <w:r>
        <w:t>Résumé: La liste des spécialités établie par l'Office fédéral de la santé publique contient les médicaments dont l'efficacité, la valeur thérapeutique et le caractère économique ont été prouvés (art. 65 ss OAMal; art. 30 ss OPAS) et elle peut comporter des limitations quant à la quantité ou aux indications médicales notamment (art. 73 OAMal). En cas de malformation cardiaque congénitale au sens du chiffre 313 OIC, comme en l'espèce, le droit aux mesures médicales s'étend à la préparation antivirale Synagis®. En effet, en tant qu'il figure dans la liste des spécialités, il s'agit d'un médicament efficace dont la valeur thérapeutique et le caractère économique ont été établis et qui fait partie du traitement de l'infirmité congénitale chiffre 313 comme telle.</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A/2185/2011 - 5/9 -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et les modifications de la loi fédérale sur l'assurance-invalidité du 6 octobre 2006 (5ème révision), entrées en vigueur le 1er janvier 2008, entraînent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la LPGA est applicable puisque la demande de prestations est postérieure à son entrée en vigueur. Du point de vue matériel, le droit à des mesures médicales doit être examiné au regard des modifications de la LAI à partir du 1er janvier 2008 (ATF 130 V 445 et les références; voir également ATF 130 V 329).</w:t>
      </w:r>
    </w:p>
    <w:p>
      <w:r>
        <w:rPr>
          <w:b/>
        </w:rPr>
        <w:t>E. 3</w:t>
      </w:r>
    </w:p>
    <w:p>
      <w:r>
        <w:t>Le délai de recours est de 30 jours (art. 60 al. 1 LPGA). Interjeté dans la forme et le délai prévus par la loi, le recours est recevable, en vertu des art. 56 ss LPGA.</w:t>
      </w:r>
    </w:p>
    <w:p>
      <w:r>
        <w:rPr>
          <w:b/>
        </w:rPr>
        <w:t>E. 4</w:t>
      </w:r>
    </w:p>
    <w:p>
      <w:r>
        <w:t>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w:t>
      </w:r>
    </w:p>
    <w:p>
      <w:r>
        <w:t>A/2185/2011 - 6/9 - En sa qualité d'assureur-maladie de l'appelé en cause, la recourante est directement touchée par la décision querellée et a dès lors qualité pour agir. En effet, dans la mesure où le refus de prise en charge du Synagis® par l’assurance-invalidité devrait être confirmé par la Cour de céans, la recourante serait tenue d’allouer ses prestations en vertu de l’assurance-maladie de base.</w:t>
      </w:r>
    </w:p>
    <w:p>
      <w:r>
        <w:rPr>
          <w:b/>
        </w:rPr>
        <w:t>E. 5</w:t>
      </w:r>
    </w:p>
    <w:p>
      <w:r>
        <w:t>Le litige porte sur le droit de l’appelé en cause à des mesures médicales de l’assurance-invalidité relatives à l’infirmité congénitale chiffre 313 OIC (malformation congénitale du cœur et des vaisseaux), plus particulièrement sur le point de savoir si le droit s’étend à la préparation antivirale Synagis®; respectivement au droit de la recourante à obtenir le remboursement des prestations avancées.</w:t>
      </w:r>
    </w:p>
    <w:p>
      <w:r>
        <w:rPr>
          <w:b/>
        </w:rPr>
        <w:t>E. 6</w:t>
      </w:r>
    </w:p>
    <w:p>
      <w:r>
        <w:t>En vertu de l'art. 13 LAI, les assurés ont droit aux mesures médicales nécessaires au traitement des infirmités congénitales au sens de l'art. 3 al. 2 LPGA jusqu'à l'âge de 20 ans révolus (al. 1). Le Conseil fédéral s’est vu confier la compétence d’établir la liste des infirmités pour lesquelles ces mesures sont accordées et la possibilité d’exclure la prise en charge du traitement d'infirmités peu importantes (al. 2). Faisant usage de cette délégation de compétence, le Conseil fédéral a édicté l’OIC du 9 décembre 1985 (SR 831.232.21). Sont réputées infirmités congénitales, les infirmités présentes à la naissance accomplie de l'enfant (art. 1 al. 1 OIC) et qui figurent dans la liste annexée à l’ordonnance (art. 1 al. 2 1ère phrase OIC), dont il est précisé qu’elle peut être adaptée chaque année par le Département fédéral de l'intérieur (ci-après : DFI ; art. 1 al. 2, 2ème phrase OIC). Le droit s’étend à toutes les mesures médicales qui se révèlent par la suite nécessaires au traitement de l’infirmité congénitale (art. 2 al. 2 OIC). Sont réputés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 12 LAI - indépendamment de la possibilité d'une future réadaptation dans la vie professionnelle (art. 8 al. 2 LAI).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123 V 58 consid. 2b/aa et les références). Cette notion, valable dans le domaine de l'assurance- maladie sociale - sous l'empire de la LAMA et, pour l'essentiel, de la LAMal (cf. ATF 125 V 28 consid. 5a, ATF 123 V 61 consid. 2c) -, s'applique également aux mesures médicales de l'assurance-invalidité. Il s'ensuit qu'un traitement n'étant pas à charge de l'assurance obligatoire de soins en cas de maladie, faute de caractère scientifiquement reconnu, ne peut en principe pas davantage être alloué</w:t>
      </w:r>
    </w:p>
    <w:p>
      <w:r>
        <w:t>A/2185/2011 - 7/9 - dans le cadre des art. 12 et 13 LAI (ATF 123 V 60 consid. 2b/cc et les références; consid. 2a de l'arrêt Z. du 4 juillet 2002, I 462/01).</w:t>
      </w:r>
    </w:p>
    <w:p>
      <w:r>
        <w:rPr>
          <w:b/>
        </w:rPr>
        <w:t>E. 7</w:t>
      </w:r>
    </w:p>
    <w:p>
      <w:r>
        <w:t>La réglementation de la LAMal repose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Selon le chiffre 08.03 de la liste des spécialités, le Synagis® est indiqué pour les enfants jusqu’à l’âge d’un an présentant une dysplasie broncho-pulmonaire déjà traitée, pour les prématurés qui lors du début de la saison du RSV sont âgés de six mois au plus et pour les enfants, jusqu’à l’âge de deux ans, souffrant d’une cardiopathie congénitale hémodynamiquement importante. Dans une cause opposant une caisse-maladie à l’Office de l’assurance-invalidité du canton de Vaud, le Tribunal fédéral a récemment été amené à examiner si, en cas de malformation cardiaque congénitale au sens du chiffre 313 OIC, le droit aux mesures médicales s’étend à la préparation antivirale Synagis®. Par arrêt non publié 9C_5307/2010 du 31 mai 2011, le Tribunal fédéral a relevé que, s’il est vrai que les mesures prophylactiques ne sont en principe pas à la charge de l’assurance sociale, il en va différemment de la préparation Synagis® dès lors qu’elle figure dans la liste des spécialités établie par l'Office fédéral de la santé publique (art. 52 al. 1 let. b LAMal; art. 64 OAMal), sous chiffre 08.03 depuis le 1er octobre 2000. Il a rappelé que cette liste contient les médicaments dont l'efficacité, la valeur thérapeutique et le caractère économique ont été prouvés (art. 65 ss OAMal; art. 30 ss OPAS) et qu’elle peut comporter des limitations quant à la quantité ou aux indications médicales notamment (art. 73 OAMal). Il en a déduit que l’indication médicale justifiant la prise en charge de la préparation Synagis® par l’assurance- invalidité fait partie du traitement de l’infirmité congénitale chiffre 313 comme telle.</w:t>
      </w:r>
    </w:p>
    <w:p>
      <w:r>
        <w:rPr>
          <w:b/>
        </w:rPr>
        <w:t>E. 8</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rPr>
          <w:b/>
        </w:rPr>
        <w:t>E. 9</w:t>
      </w:r>
    </w:p>
    <w:p>
      <w:r>
        <w:t>L’intimé soutient que la prescription de Synagis® est une mesure prophylactique du VRS qui, à ce titre, n’est pas à la charge de l’assurance-invalidité. En outre, il fait valoir qu’une cardiopathie congénitale pourrait être traitée à satisfaction sans l’administration du Synagis®.</w:t>
      </w:r>
    </w:p>
    <w:p>
      <w:r>
        <w:t>A/2185/2011 - 8/9 - En l’espèce, l’appelé en cause, né le 23 novembre 2009, souffre d’une malformation cardiaque congénitale prise en charge par l’intimé au sens du chiffre 313 OIC. Dans son rapport du 14 juillet 2011, le Prof. L__________ a expliqué que l’indication médicale du traitement de Synagis® administré à l’appelé en cause - en date des 9 novembre et 8 décembre 2010, 12 janvier, 16 février et 23 mars 2011 - avait été concertée entre les spécialistes traitants, soit le cardiologue et le pneumologue. Il a précisé que l’atteinte dont souffre l’appelé en cause entraînait un fort risque de problèmes sérieux en cas d’infection VRS, même s’il avait été opéré pour sa cardiopathie. Par ailleurs, de l’avis du Dr M_________, médecin conseil de la recourante, au vu de l’infirmité congénitale dont souffre l’appelé en cause, le traitement de Synagis® pendant les mois d’automne et d’hiver était absolument nécessaire pour éviter une exacerbation avec péjoration potentiellement dangereuse de la condition cardio-pulmonaire de l’enfant (avis du 14 juillet 2011). Au demeurant, le Dr N_________, pédiatre auprès du SMR, est également d’avis que la communication inter-auriculaire avec hypertension pulmonaire présentée par l’appelé en cause et qui a nécessité une fermeture partielle avec pose d’un patch de péricarde bovin dans les premiers mois de vie, constitue une cardiopathie hémodynamiquement importante justifiant l’administration du Synagis®. Force est dès lors de constater que la malformation cardiaque congénitale présentée par l’appelé en cause et son âge - moins de deux ans pendant la prescription de la préparation Synagis® - correspondent aux limitations prévues par la LS. Le cas d’espèce étant absolument identique à celui jugé par la Haute Cour dans son arrêt 9C_530/2010 du 31 mai 2011, la Cour de céans s’alignera sur la position du Tribunal fédéral pour les mêmes motifs que ceux qu'il a développés (cf. également ATAS/1141/2011). En tant que le Synagis® figure dans la liste des spécialités, il s’agit d’un médicament efficace dont la valeur thérapeutique et le caractère économique ont été établis et qui fait partie du traitement de l’infirmité congénitale chiffre 313 comme telle. Par conséquent, les arguments de l’intimé relatifs au caractère préventif du traitement et à l’hypothèse qu’une cardiopathie congénitale hémodynamiquement importante pourrait être traitée sans l’administration du Synagis® doivent être écartés. Compte tenu de ce qui précède, l’appelé en cause a droit à la prise en charge par l’assurance-invalidité du traitement de Synagis® à titre de mesures médicales de l’affection congénitale chiffre 313 OIC administré en date des 9 novembre et 8 décembre 2010, 12 janvier, 16 février et 23 mars 2011; respectivement la recourante a droit au remboursement par l’intimé des prestations avancées.</w:t>
      </w:r>
    </w:p>
    <w:p>
      <w:r>
        <w:rPr>
          <w:b/>
        </w:rPr>
        <w:t>E. 10</w:t>
      </w:r>
    </w:p>
    <w:p>
      <w:r>
        <w:t>Au vu de ce qui précède, le recours sera admis. Etant donné que depuis le 1er juillet 2006, la procédure n'est plus gratuite (art. 69 al. 1bis LAI), l’intimé est condamné au paiement d'un émolument de 500 fr.</w:t>
      </w:r>
    </w:p>
    <w:p>
      <w:r>
        <w:t>A/2185/2011 - 9/9 -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